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37DE" w14:textId="77777777" w:rsidR="00C028D3" w:rsidRPr="00C028D3" w:rsidRDefault="00C028D3" w:rsidP="00C61444">
      <w:pPr>
        <w:ind w:firstLine="708"/>
        <w:jc w:val="center"/>
        <w:rPr>
          <w:b/>
          <w:bCs/>
          <w:sz w:val="12"/>
          <w:szCs w:val="12"/>
        </w:rPr>
      </w:pPr>
    </w:p>
    <w:p w14:paraId="52649C9D" w14:textId="4F04B262" w:rsidR="007A08E8" w:rsidRPr="00C028D3" w:rsidRDefault="002603A8" w:rsidP="00C61444">
      <w:pPr>
        <w:ind w:firstLine="708"/>
        <w:jc w:val="center"/>
        <w:rPr>
          <w:b/>
          <w:bCs/>
          <w:sz w:val="30"/>
          <w:szCs w:val="30"/>
          <w:lang w:val="fr-CI"/>
        </w:rPr>
      </w:pPr>
      <w:r w:rsidRPr="00C028D3">
        <w:rPr>
          <w:b/>
          <w:bCs/>
          <w:sz w:val="30"/>
          <w:szCs w:val="30"/>
        </w:rPr>
        <w:t xml:space="preserve">Formations sensibilisation et d'information sur les </w:t>
      </w:r>
      <w:r w:rsidR="00C61444" w:rsidRPr="00C028D3">
        <w:rPr>
          <w:b/>
          <w:bCs/>
          <w:sz w:val="30"/>
          <w:szCs w:val="30"/>
          <w:lang w:val="fr-CI"/>
        </w:rPr>
        <w:t>grands principes du Gouvernement Ouvert et la mise en œuvre du Plan d’Action National (</w:t>
      </w:r>
      <w:r w:rsidRPr="00C028D3">
        <w:rPr>
          <w:b/>
          <w:bCs/>
          <w:sz w:val="30"/>
          <w:szCs w:val="30"/>
          <w:lang w:val="fr-CI"/>
        </w:rPr>
        <w:t>Ateliers de diffusion des valeurs et principes fondateurs du PGO auprès de l'administration, de la société civile et des médias</w:t>
      </w:r>
      <w:r w:rsidR="00C61444" w:rsidRPr="00C028D3">
        <w:rPr>
          <w:b/>
          <w:bCs/>
          <w:sz w:val="30"/>
          <w:szCs w:val="30"/>
          <w:lang w:val="fr-CI"/>
        </w:rPr>
        <w:t>)</w:t>
      </w:r>
    </w:p>
    <w:p w14:paraId="78D90EF8" w14:textId="77777777" w:rsidR="00C61444" w:rsidRPr="00C61444" w:rsidRDefault="00C61444" w:rsidP="00C61444">
      <w:pPr>
        <w:ind w:firstLine="708"/>
        <w:jc w:val="center"/>
        <w:rPr>
          <w:sz w:val="10"/>
          <w:szCs w:val="10"/>
        </w:rPr>
      </w:pPr>
    </w:p>
    <w:tbl>
      <w:tblPr>
        <w:tblStyle w:val="GridTable5Dark-Accent11"/>
        <w:tblW w:w="963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7229"/>
      </w:tblGrid>
      <w:tr w:rsidR="004E38D9" w:rsidRPr="00C028D3" w14:paraId="3D780165" w14:textId="77777777" w:rsidTr="00C0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3A203B6D" w14:textId="77777777" w:rsidR="004E38D9" w:rsidRPr="00C028D3" w:rsidRDefault="004E38D9" w:rsidP="00A8762B">
            <w:pPr>
              <w:widowControl w:val="0"/>
            </w:pPr>
            <w:r w:rsidRPr="00C028D3">
              <w:t>Titre du Projet</w:t>
            </w:r>
          </w:p>
        </w:tc>
        <w:tc>
          <w:tcPr>
            <w:tcW w:w="7229" w:type="dxa"/>
            <w:tcBorders>
              <w:top w:val="none" w:sz="0" w:space="0" w:color="auto"/>
              <w:left w:val="none" w:sz="0" w:space="0" w:color="auto"/>
              <w:right w:val="nil"/>
            </w:tcBorders>
          </w:tcPr>
          <w:p w14:paraId="01949DD7" w14:textId="77777777" w:rsidR="004E38D9" w:rsidRPr="00C028D3" w:rsidRDefault="004E38D9" w:rsidP="00A8762B">
            <w:pPr>
              <w:widowControl w:val="0"/>
              <w:cnfStyle w:val="100000000000" w:firstRow="1" w:lastRow="0" w:firstColumn="0" w:lastColumn="0" w:oddVBand="0" w:evenVBand="0" w:oddHBand="0" w:evenHBand="0" w:firstRowFirstColumn="0" w:firstRowLastColumn="0" w:lastRowFirstColumn="0" w:lastRowLastColumn="0"/>
              <w:rPr>
                <w:lang w:val="fr-FR"/>
              </w:rPr>
            </w:pPr>
            <w:r w:rsidRPr="00C028D3">
              <w:rPr>
                <w:lang w:val="fr-CI"/>
              </w:rPr>
              <w:t>Programme d’Appui aux Gouvernements Ouverts Francophones #PAGOF</w:t>
            </w:r>
          </w:p>
        </w:tc>
      </w:tr>
      <w:tr w:rsidR="004E38D9" w:rsidRPr="00C028D3" w14:paraId="0919C966"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FDA53B0" w14:textId="77777777" w:rsidR="004E38D9" w:rsidRPr="00C028D3" w:rsidRDefault="004E38D9" w:rsidP="00A8762B">
            <w:pPr>
              <w:widowControl w:val="0"/>
            </w:pPr>
            <w:r w:rsidRPr="00C028D3">
              <w:t>Partenaires</w:t>
            </w:r>
          </w:p>
        </w:tc>
        <w:tc>
          <w:tcPr>
            <w:tcW w:w="7229" w:type="dxa"/>
            <w:tcBorders>
              <w:right w:val="nil"/>
            </w:tcBorders>
          </w:tcPr>
          <w:p w14:paraId="35C95DA1" w14:textId="77777777" w:rsidR="004E38D9" w:rsidRPr="00C028D3" w:rsidRDefault="004E38D9" w:rsidP="00A8762B">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C028D3">
              <w:rPr>
                <w:color w:val="404040" w:themeColor="text1" w:themeTint="BF"/>
                <w:lang w:val="fr-CI"/>
              </w:rPr>
              <w:t>Tunisie, Côte d’Ivoire, Burkina Faso</w:t>
            </w:r>
            <w:r w:rsidRPr="00C028D3">
              <w:rPr>
                <w:color w:val="404040" w:themeColor="text1" w:themeTint="BF"/>
                <w:lang w:val="fr-FR"/>
              </w:rPr>
              <w:t>, Maroc, Sénégal</w:t>
            </w:r>
          </w:p>
        </w:tc>
      </w:tr>
      <w:tr w:rsidR="004E38D9" w:rsidRPr="00C028D3" w14:paraId="1DA90CAB"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D5014B6" w14:textId="77777777" w:rsidR="004E38D9" w:rsidRPr="00C028D3" w:rsidRDefault="004E38D9" w:rsidP="00A8762B">
            <w:pPr>
              <w:widowControl w:val="0"/>
            </w:pPr>
            <w:r w:rsidRPr="00C028D3">
              <w:t>Opérateurs</w:t>
            </w:r>
          </w:p>
        </w:tc>
        <w:tc>
          <w:tcPr>
            <w:tcW w:w="7229" w:type="dxa"/>
            <w:tcBorders>
              <w:right w:val="nil"/>
            </w:tcBorders>
          </w:tcPr>
          <w:p w14:paraId="44376EF9" w14:textId="77777777" w:rsidR="004E38D9" w:rsidRPr="00C028D3" w:rsidRDefault="004E38D9" w:rsidP="00A8762B">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028D3">
              <w:rPr>
                <w:color w:val="404040" w:themeColor="text1" w:themeTint="BF"/>
              </w:rPr>
              <w:t>Expertise France</w:t>
            </w:r>
          </w:p>
        </w:tc>
      </w:tr>
      <w:tr w:rsidR="004E38D9" w:rsidRPr="00C028D3" w14:paraId="5A402809"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7957B729" w14:textId="77777777" w:rsidR="004E38D9" w:rsidRPr="00C028D3" w:rsidRDefault="004E38D9" w:rsidP="00A8762B">
            <w:pPr>
              <w:widowControl w:val="0"/>
            </w:pPr>
            <w:r w:rsidRPr="00C028D3">
              <w:t>Directeurs de Projet</w:t>
            </w:r>
          </w:p>
        </w:tc>
        <w:tc>
          <w:tcPr>
            <w:tcW w:w="7229" w:type="dxa"/>
            <w:tcBorders>
              <w:right w:val="nil"/>
            </w:tcBorders>
          </w:tcPr>
          <w:p w14:paraId="351AA531" w14:textId="77777777" w:rsidR="004E38D9" w:rsidRPr="00C028D3" w:rsidRDefault="004E38D9" w:rsidP="00A8762B">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C028D3">
              <w:rPr>
                <w:color w:val="404040" w:themeColor="text1" w:themeTint="BF"/>
                <w:lang w:val="fr-FR"/>
              </w:rPr>
              <w:t>Nicole NKOA</w:t>
            </w:r>
          </w:p>
        </w:tc>
      </w:tr>
      <w:tr w:rsidR="004E38D9" w:rsidRPr="00C028D3" w14:paraId="5F209767"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A4CB5F0" w14:textId="77777777" w:rsidR="004E38D9" w:rsidRPr="00C028D3" w:rsidRDefault="004E38D9" w:rsidP="00A8762B">
            <w:pPr>
              <w:widowControl w:val="0"/>
            </w:pPr>
            <w:r w:rsidRPr="00C028D3">
              <w:t>Email</w:t>
            </w:r>
          </w:p>
        </w:tc>
        <w:tc>
          <w:tcPr>
            <w:tcW w:w="7229" w:type="dxa"/>
            <w:tcBorders>
              <w:right w:val="nil"/>
            </w:tcBorders>
          </w:tcPr>
          <w:p w14:paraId="1BEC9BC5" w14:textId="77777777" w:rsidR="004E38D9" w:rsidRPr="00C028D3" w:rsidRDefault="004E38D9" w:rsidP="00A8762B">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lang w:val="fr-FR"/>
              </w:rPr>
            </w:pPr>
            <w:r w:rsidRPr="00C028D3">
              <w:rPr>
                <w:rStyle w:val="Lienhypertexte"/>
                <w:lang w:val="fr-FR"/>
              </w:rPr>
              <w:t>Nicole.nkoa@expertisefrance.fr</w:t>
            </w:r>
          </w:p>
        </w:tc>
      </w:tr>
      <w:tr w:rsidR="004E38D9" w:rsidRPr="00C028D3" w14:paraId="6545B562"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005D2529" w14:textId="77777777" w:rsidR="004E38D9" w:rsidRPr="00C028D3" w:rsidRDefault="004E38D9" w:rsidP="00A8762B">
            <w:pPr>
              <w:widowControl w:val="0"/>
            </w:pPr>
            <w:r w:rsidRPr="00C028D3">
              <w:t>Pays/institution</w:t>
            </w:r>
          </w:p>
        </w:tc>
        <w:tc>
          <w:tcPr>
            <w:tcW w:w="7229" w:type="dxa"/>
            <w:tcBorders>
              <w:right w:val="nil"/>
            </w:tcBorders>
          </w:tcPr>
          <w:p w14:paraId="1067481A" w14:textId="77777777" w:rsidR="004E38D9" w:rsidRPr="00C028D3" w:rsidRDefault="004E38D9" w:rsidP="00A8762B">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lang w:val="fr-CI"/>
              </w:rPr>
            </w:pPr>
            <w:r w:rsidRPr="00C028D3">
              <w:rPr>
                <w:b/>
                <w:color w:val="404040" w:themeColor="text1" w:themeTint="BF"/>
                <w:lang w:val="fr-CI"/>
              </w:rPr>
              <w:t xml:space="preserve">Cote d’Ivoire – OSC et Administration </w:t>
            </w:r>
          </w:p>
        </w:tc>
      </w:tr>
      <w:tr w:rsidR="004E38D9" w:rsidRPr="00C028D3" w14:paraId="7F1CA97B"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E4C51B1" w14:textId="77777777" w:rsidR="004E38D9" w:rsidRPr="00C028D3" w:rsidRDefault="004E38D9" w:rsidP="00A8762B">
            <w:pPr>
              <w:widowControl w:val="0"/>
            </w:pPr>
            <w:r w:rsidRPr="00C028D3">
              <w:t>Opérateur sur l’activité</w:t>
            </w:r>
          </w:p>
        </w:tc>
        <w:tc>
          <w:tcPr>
            <w:tcW w:w="7229" w:type="dxa"/>
            <w:tcBorders>
              <w:right w:val="nil"/>
            </w:tcBorders>
          </w:tcPr>
          <w:p w14:paraId="10E6BE3B" w14:textId="77777777" w:rsidR="004E38D9" w:rsidRPr="00C028D3" w:rsidRDefault="004E38D9" w:rsidP="00A8762B">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C028D3">
              <w:rPr>
                <w:b/>
                <w:color w:val="404040" w:themeColor="text1" w:themeTint="BF"/>
              </w:rPr>
              <w:t>Expertise France</w:t>
            </w:r>
          </w:p>
        </w:tc>
      </w:tr>
      <w:tr w:rsidR="004E38D9" w:rsidRPr="00C028D3" w14:paraId="38C99A67"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099EE1E7" w14:textId="77777777" w:rsidR="004E38D9" w:rsidRPr="00C028D3" w:rsidRDefault="004E38D9" w:rsidP="00A8762B">
            <w:pPr>
              <w:widowControl w:val="0"/>
            </w:pPr>
            <w:r w:rsidRPr="00C028D3">
              <w:t>Activité</w:t>
            </w:r>
          </w:p>
        </w:tc>
        <w:tc>
          <w:tcPr>
            <w:tcW w:w="7229" w:type="dxa"/>
            <w:tcBorders>
              <w:bottom w:val="single" w:sz="24" w:space="0" w:color="FFFFFF" w:themeColor="background1"/>
              <w:right w:val="nil"/>
            </w:tcBorders>
          </w:tcPr>
          <w:p w14:paraId="76F0EAA3" w14:textId="75CCE920" w:rsidR="002603A8" w:rsidRPr="002603A8" w:rsidRDefault="002603A8" w:rsidP="002603A8">
            <w:pPr>
              <w:widowControl w:val="0"/>
              <w:cnfStyle w:val="000000100000" w:firstRow="0" w:lastRow="0" w:firstColumn="0" w:lastColumn="0" w:oddVBand="0" w:evenVBand="0" w:oddHBand="1" w:evenHBand="0" w:firstRowFirstColumn="0" w:firstRowLastColumn="0" w:lastRowFirstColumn="0" w:lastRowLastColumn="0"/>
              <w:rPr>
                <w:b/>
                <w:bCs/>
                <w:color w:val="404040" w:themeColor="text1" w:themeTint="BF"/>
                <w:lang w:val="fr-CI"/>
              </w:rPr>
            </w:pPr>
            <w:r w:rsidRPr="002603A8">
              <w:rPr>
                <w:b/>
                <w:bCs/>
                <w:color w:val="404040" w:themeColor="text1" w:themeTint="BF"/>
                <w:lang w:val="fr-CI"/>
              </w:rPr>
              <w:t>Formations sensibilisation et d'information sur les grands principes du Gouvernement Ouvert et la mise en œuvre du Plan d’Action National (Ateliers de diffusion des valeurs et principes fondateurs du PGO auprès de l'administration, de la société civile et des médias</w:t>
            </w:r>
            <w:r w:rsidRPr="00C028D3">
              <w:rPr>
                <w:b/>
                <w:bCs/>
                <w:color w:val="404040" w:themeColor="text1" w:themeTint="BF"/>
                <w:lang w:val="fr-CI"/>
              </w:rPr>
              <w:t xml:space="preserve"> en régions</w:t>
            </w:r>
            <w:r w:rsidRPr="002603A8">
              <w:rPr>
                <w:b/>
                <w:bCs/>
                <w:color w:val="404040" w:themeColor="text1" w:themeTint="BF"/>
                <w:lang w:val="fr-CI"/>
              </w:rPr>
              <w:t>)</w:t>
            </w:r>
          </w:p>
          <w:p w14:paraId="2F4D051B" w14:textId="714B75BE" w:rsidR="004E38D9" w:rsidRPr="00C028D3" w:rsidRDefault="004E38D9" w:rsidP="00A8762B">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lang w:val="fr-CI"/>
              </w:rPr>
            </w:pPr>
          </w:p>
        </w:tc>
      </w:tr>
    </w:tbl>
    <w:p w14:paraId="293520BC" w14:textId="77777777" w:rsidR="00FE7804" w:rsidRDefault="00FE7804" w:rsidP="001D0E34">
      <w:pPr>
        <w:rPr>
          <w:b/>
        </w:rPr>
      </w:pPr>
    </w:p>
    <w:p w14:paraId="7635926D" w14:textId="77777777" w:rsidR="001D0E34" w:rsidRPr="00B23AA6" w:rsidRDefault="001D0E34" w:rsidP="00B23AA6">
      <w:pPr>
        <w:spacing w:line="276" w:lineRule="auto"/>
        <w:rPr>
          <w:rFonts w:cstheme="minorHAnsi"/>
          <w:b/>
          <w:color w:val="0070C0"/>
          <w:sz w:val="24"/>
          <w:szCs w:val="24"/>
        </w:rPr>
      </w:pPr>
      <w:r w:rsidRPr="00B23AA6">
        <w:rPr>
          <w:rFonts w:cstheme="minorHAnsi"/>
          <w:b/>
          <w:color w:val="0070C0"/>
          <w:sz w:val="24"/>
          <w:szCs w:val="24"/>
        </w:rPr>
        <w:t>Description et contexte du PAGOF2</w:t>
      </w:r>
    </w:p>
    <w:p w14:paraId="003F6067" w14:textId="77777777" w:rsidR="00247F69" w:rsidRPr="00B23AA6" w:rsidRDefault="00247F69" w:rsidP="00B23AA6">
      <w:pPr>
        <w:spacing w:line="276" w:lineRule="auto"/>
        <w:jc w:val="both"/>
        <w:rPr>
          <w:rFonts w:cstheme="minorHAnsi"/>
          <w:sz w:val="24"/>
          <w:szCs w:val="24"/>
        </w:rPr>
      </w:pPr>
      <w:r w:rsidRPr="00B23AA6">
        <w:rPr>
          <w:rFonts w:cstheme="minorHAnsi"/>
          <w:sz w:val="24"/>
          <w:szCs w:val="24"/>
        </w:rPr>
        <w:t>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mis en place, via un financement de l’AFD, le Projet d’Appui aux Gouvernements Ouverts Francophones (PAGOF).</w:t>
      </w:r>
    </w:p>
    <w:p w14:paraId="1A620C30" w14:textId="77777777" w:rsidR="00247F69" w:rsidRPr="00B23AA6" w:rsidRDefault="00247F69" w:rsidP="00B23AA6">
      <w:pPr>
        <w:spacing w:line="276" w:lineRule="auto"/>
        <w:jc w:val="both"/>
        <w:rPr>
          <w:rFonts w:cstheme="minorHAnsi"/>
          <w:sz w:val="24"/>
          <w:szCs w:val="24"/>
        </w:rPr>
      </w:pPr>
      <w:r w:rsidRPr="00B23AA6">
        <w:rPr>
          <w:rFonts w:cstheme="minorHAnsi"/>
          <w:sz w:val="24"/>
          <w:szCs w:val="24"/>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3E7A4CD4" w14:textId="77777777" w:rsidR="00247F69" w:rsidRPr="00B23AA6" w:rsidRDefault="00247F69" w:rsidP="00B23AA6">
      <w:pPr>
        <w:spacing w:line="276" w:lineRule="auto"/>
        <w:jc w:val="both"/>
        <w:rPr>
          <w:rFonts w:cstheme="minorHAnsi"/>
          <w:sz w:val="24"/>
          <w:szCs w:val="24"/>
        </w:rPr>
      </w:pPr>
      <w:r w:rsidRPr="00B23AA6">
        <w:rPr>
          <w:rFonts w:cstheme="minorHAnsi"/>
          <w:sz w:val="24"/>
          <w:szCs w:val="24"/>
        </w:rPr>
        <w:t>Fort de son succès, une seconde phase a été validée par l’AFD. Menée par l’opérateur Expertise France, elle concernera désormais 05 pays : Burkina Faso, Côte d’Ivoire, Maroc, Tunisie et Sénégal.</w:t>
      </w:r>
    </w:p>
    <w:p w14:paraId="74E23C7B" w14:textId="3AAEF888" w:rsidR="00247F69" w:rsidRPr="00B23AA6" w:rsidRDefault="00247F69" w:rsidP="00B23AA6">
      <w:pPr>
        <w:spacing w:line="276" w:lineRule="auto"/>
        <w:jc w:val="both"/>
        <w:rPr>
          <w:rFonts w:cstheme="minorHAnsi"/>
          <w:sz w:val="24"/>
          <w:szCs w:val="24"/>
        </w:rPr>
      </w:pPr>
      <w:r w:rsidRPr="00B23AA6">
        <w:rPr>
          <w:rFonts w:cstheme="minorHAnsi"/>
          <w:sz w:val="24"/>
          <w:szCs w:val="24"/>
        </w:rPr>
        <w:t xml:space="preserve">Dans cette nouvelle phase, le PAGOF2 continuera son appui aux côtés des administrations et de la société civile de la Côte d’Ivoire, de la Tunisie, du Sénégal et du Maroc, dans la mise en œuvre des engagements techniques du Gouvernement Ouvert et dans la mise en place de leur Plan d'Action National. </w:t>
      </w:r>
    </w:p>
    <w:p w14:paraId="26373A70" w14:textId="77777777" w:rsidR="007A08E8" w:rsidRPr="00B23AA6" w:rsidRDefault="00247F69" w:rsidP="00B23AA6">
      <w:pPr>
        <w:spacing w:line="276" w:lineRule="auto"/>
        <w:jc w:val="both"/>
        <w:rPr>
          <w:rFonts w:cstheme="minorHAnsi"/>
          <w:sz w:val="24"/>
          <w:szCs w:val="24"/>
        </w:rPr>
      </w:pPr>
      <w:r w:rsidRPr="00B23AA6">
        <w:rPr>
          <w:rFonts w:cstheme="minorHAnsi"/>
          <w:sz w:val="24"/>
          <w:szCs w:val="24"/>
        </w:rPr>
        <w:lastRenderedPageBreak/>
        <w:t>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leur démarche d’adhésion au PGO.</w:t>
      </w:r>
    </w:p>
    <w:p w14:paraId="2FC9A8FD" w14:textId="77777777" w:rsidR="00E83E50" w:rsidRPr="00B23AA6" w:rsidRDefault="00E83E50" w:rsidP="00B23AA6">
      <w:pPr>
        <w:spacing w:line="276" w:lineRule="auto"/>
        <w:rPr>
          <w:rFonts w:cstheme="minorHAnsi"/>
          <w:b/>
          <w:color w:val="0070C0"/>
          <w:sz w:val="24"/>
          <w:szCs w:val="24"/>
        </w:rPr>
      </w:pPr>
      <w:r w:rsidRPr="00B23AA6">
        <w:rPr>
          <w:rFonts w:cstheme="minorHAnsi"/>
          <w:b/>
          <w:color w:val="0070C0"/>
          <w:sz w:val="24"/>
          <w:szCs w:val="24"/>
        </w:rPr>
        <w:t>Description des Objectifs de l’activité</w:t>
      </w:r>
    </w:p>
    <w:p w14:paraId="136349BF" w14:textId="39BA9956" w:rsidR="002603A8" w:rsidRPr="002603A8" w:rsidRDefault="00E83E50" w:rsidP="002603A8">
      <w:pPr>
        <w:spacing w:line="276" w:lineRule="auto"/>
        <w:jc w:val="both"/>
        <w:rPr>
          <w:rFonts w:cstheme="minorHAnsi"/>
          <w:color w:val="000000" w:themeColor="text1"/>
          <w:sz w:val="24"/>
          <w:szCs w:val="24"/>
        </w:rPr>
      </w:pPr>
      <w:r w:rsidRPr="00C028D3">
        <w:rPr>
          <w:rFonts w:cstheme="minorHAnsi"/>
          <w:sz w:val="24"/>
          <w:szCs w:val="24"/>
        </w:rPr>
        <w:t xml:space="preserve">Cette activité s’inscrit dans le cadre des activités transversales définies dans l’Axe A « Renforcement des connaissances sur le Gouvernement Ouvert ». </w:t>
      </w:r>
      <w:r w:rsidR="00FE7804" w:rsidRPr="00C028D3">
        <w:rPr>
          <w:rFonts w:cstheme="minorHAnsi"/>
          <w:color w:val="000000" w:themeColor="text1"/>
          <w:sz w:val="24"/>
          <w:szCs w:val="24"/>
        </w:rPr>
        <w:t xml:space="preserve">L’Objectif de cette activité est </w:t>
      </w:r>
      <w:r w:rsidR="00A44A47" w:rsidRPr="00C028D3">
        <w:rPr>
          <w:rFonts w:cstheme="minorHAnsi"/>
          <w:color w:val="000000" w:themeColor="text1"/>
          <w:sz w:val="24"/>
          <w:szCs w:val="24"/>
        </w:rPr>
        <w:t xml:space="preserve">de sensibiliser l’administration et la société civile </w:t>
      </w:r>
      <w:r w:rsidR="00A44A47" w:rsidRPr="002603A8">
        <w:rPr>
          <w:rFonts w:cstheme="minorHAnsi"/>
          <w:color w:val="000000" w:themeColor="text1"/>
          <w:sz w:val="24"/>
          <w:szCs w:val="24"/>
        </w:rPr>
        <w:t>en région prioritairement et au niveau central</w:t>
      </w:r>
      <w:r w:rsidR="00A44A47" w:rsidRPr="00C028D3">
        <w:rPr>
          <w:rFonts w:cstheme="minorHAnsi"/>
          <w:color w:val="000000" w:themeColor="text1"/>
          <w:sz w:val="24"/>
          <w:szCs w:val="24"/>
        </w:rPr>
        <w:t xml:space="preserve"> sur </w:t>
      </w:r>
      <w:r w:rsidR="002603A8" w:rsidRPr="002603A8">
        <w:rPr>
          <w:rFonts w:cstheme="minorHAnsi"/>
          <w:color w:val="000000" w:themeColor="text1"/>
          <w:sz w:val="24"/>
          <w:szCs w:val="24"/>
        </w:rPr>
        <w:t xml:space="preserve">les grands principes du PGO </w:t>
      </w:r>
      <w:r w:rsidR="00A44A47" w:rsidRPr="00C028D3">
        <w:rPr>
          <w:rFonts w:cstheme="minorHAnsi"/>
          <w:color w:val="000000" w:themeColor="text1"/>
          <w:sz w:val="24"/>
          <w:szCs w:val="24"/>
        </w:rPr>
        <w:t>et la mise en œuvre du PAN.</w:t>
      </w:r>
    </w:p>
    <w:p w14:paraId="6664C4A1" w14:textId="2228D43F" w:rsidR="00965C5D" w:rsidRPr="00C028D3" w:rsidRDefault="00E704D6" w:rsidP="00B23AA6">
      <w:pPr>
        <w:spacing w:line="276" w:lineRule="auto"/>
        <w:jc w:val="both"/>
        <w:rPr>
          <w:rFonts w:cstheme="minorHAnsi"/>
          <w:color w:val="000000" w:themeColor="text1"/>
          <w:sz w:val="24"/>
          <w:szCs w:val="24"/>
        </w:rPr>
      </w:pPr>
      <w:r w:rsidRPr="00C028D3">
        <w:rPr>
          <w:rFonts w:cstheme="minorHAnsi"/>
          <w:color w:val="000000" w:themeColor="text1"/>
          <w:sz w:val="24"/>
          <w:szCs w:val="24"/>
        </w:rPr>
        <w:t xml:space="preserve">L’idée </w:t>
      </w:r>
      <w:r w:rsidR="00E83E50" w:rsidRPr="00C028D3">
        <w:rPr>
          <w:rFonts w:cstheme="minorHAnsi"/>
          <w:color w:val="000000" w:themeColor="text1"/>
          <w:sz w:val="24"/>
          <w:szCs w:val="24"/>
        </w:rPr>
        <w:t xml:space="preserve">est de diffuser </w:t>
      </w:r>
      <w:r w:rsidRPr="00C028D3">
        <w:rPr>
          <w:rFonts w:cstheme="minorHAnsi"/>
          <w:color w:val="000000" w:themeColor="text1"/>
          <w:sz w:val="24"/>
          <w:szCs w:val="24"/>
        </w:rPr>
        <w:t xml:space="preserve">dans une logique de pérennité, </w:t>
      </w:r>
      <w:r w:rsidR="00E83E50" w:rsidRPr="00C028D3">
        <w:rPr>
          <w:rFonts w:cstheme="minorHAnsi"/>
          <w:color w:val="000000" w:themeColor="text1"/>
          <w:sz w:val="24"/>
          <w:szCs w:val="24"/>
        </w:rPr>
        <w:t xml:space="preserve">les valeurs et principes fondateurs du Gouvernement Ouvert et du PGO auprès de représentants de l’administration, de la société civile, des médias, du parlement et autres acteurs impliqués (ou qui devraient l’être) dans le PGO et la mise en œuvre du PAN. </w:t>
      </w:r>
    </w:p>
    <w:p w14:paraId="42D842B5" w14:textId="77777777" w:rsidR="00286813" w:rsidRPr="00AE7594" w:rsidRDefault="00965C5D" w:rsidP="00B23AA6">
      <w:pPr>
        <w:spacing w:line="276" w:lineRule="auto"/>
        <w:jc w:val="both"/>
        <w:rPr>
          <w:rFonts w:cstheme="minorHAnsi"/>
          <w:sz w:val="24"/>
          <w:szCs w:val="24"/>
        </w:rPr>
      </w:pPr>
      <w:r w:rsidRPr="00AE7594">
        <w:rPr>
          <w:rFonts w:cstheme="minorHAnsi"/>
          <w:sz w:val="24"/>
          <w:szCs w:val="24"/>
        </w:rPr>
        <w:t>De mani</w:t>
      </w:r>
      <w:r w:rsidR="00286813" w:rsidRPr="00AE7594">
        <w:rPr>
          <w:rFonts w:cstheme="minorHAnsi"/>
          <w:sz w:val="24"/>
          <w:szCs w:val="24"/>
        </w:rPr>
        <w:t>ère spécifique, il s'agira de :</w:t>
      </w:r>
    </w:p>
    <w:p w14:paraId="1A8E54F4" w14:textId="5678B86B" w:rsidR="00A44A47" w:rsidRPr="00AE7594" w:rsidRDefault="00A44A47" w:rsidP="00B23AA6">
      <w:pPr>
        <w:pStyle w:val="Paragraphedeliste"/>
        <w:numPr>
          <w:ilvl w:val="0"/>
          <w:numId w:val="1"/>
        </w:numPr>
        <w:spacing w:line="276" w:lineRule="auto"/>
        <w:jc w:val="both"/>
        <w:rPr>
          <w:rFonts w:cstheme="minorHAnsi"/>
          <w:sz w:val="24"/>
          <w:szCs w:val="24"/>
        </w:rPr>
      </w:pPr>
      <w:r w:rsidRPr="00AE7594">
        <w:rPr>
          <w:rFonts w:cstheme="minorHAnsi"/>
          <w:sz w:val="24"/>
          <w:szCs w:val="24"/>
        </w:rPr>
        <w:t xml:space="preserve">Sensibiliser et informer au moins trois cent (300) de représentants de l’administration, de la société civile, des médias, du parlement et autres acteurs impliqués (ou qui devraient l’être) dans le PGO </w:t>
      </w:r>
      <w:r w:rsidR="00965C5D" w:rsidRPr="00AE7594">
        <w:rPr>
          <w:rFonts w:cstheme="minorHAnsi"/>
          <w:sz w:val="24"/>
          <w:szCs w:val="24"/>
        </w:rPr>
        <w:t>aux c</w:t>
      </w:r>
      <w:r w:rsidR="00A11E0F" w:rsidRPr="00AE7594">
        <w:rPr>
          <w:rFonts w:cstheme="minorHAnsi"/>
          <w:sz w:val="24"/>
          <w:szCs w:val="24"/>
        </w:rPr>
        <w:t xml:space="preserve">oncepts, principes, </w:t>
      </w:r>
      <w:r w:rsidR="00390036" w:rsidRPr="00AE7594">
        <w:rPr>
          <w:rFonts w:cstheme="minorHAnsi"/>
          <w:sz w:val="24"/>
          <w:szCs w:val="24"/>
        </w:rPr>
        <w:t xml:space="preserve">pratiques </w:t>
      </w:r>
      <w:r w:rsidR="00A11E0F" w:rsidRPr="00AE7594">
        <w:rPr>
          <w:rFonts w:cstheme="minorHAnsi"/>
          <w:sz w:val="24"/>
          <w:szCs w:val="24"/>
        </w:rPr>
        <w:t xml:space="preserve">et méthodes </w:t>
      </w:r>
      <w:r w:rsidR="00390036" w:rsidRPr="00AE7594">
        <w:rPr>
          <w:rFonts w:cstheme="minorHAnsi"/>
          <w:sz w:val="24"/>
          <w:szCs w:val="24"/>
        </w:rPr>
        <w:t xml:space="preserve">de </w:t>
      </w:r>
      <w:r w:rsidR="00F56D99" w:rsidRPr="00AE7594">
        <w:rPr>
          <w:rFonts w:cstheme="minorHAnsi"/>
          <w:sz w:val="24"/>
          <w:szCs w:val="24"/>
        </w:rPr>
        <w:t>l’OGP</w:t>
      </w:r>
      <w:r w:rsidRPr="00AE7594">
        <w:rPr>
          <w:rFonts w:cstheme="minorHAnsi"/>
          <w:sz w:val="24"/>
          <w:szCs w:val="24"/>
        </w:rPr>
        <w:t> ;</w:t>
      </w:r>
    </w:p>
    <w:p w14:paraId="66E40C48" w14:textId="129A5C30" w:rsidR="00A44A47" w:rsidRPr="00AE7594" w:rsidRDefault="00A44A47" w:rsidP="00B23AA6">
      <w:pPr>
        <w:pStyle w:val="Paragraphedeliste"/>
        <w:numPr>
          <w:ilvl w:val="0"/>
          <w:numId w:val="1"/>
        </w:numPr>
        <w:spacing w:line="276" w:lineRule="auto"/>
        <w:jc w:val="both"/>
        <w:rPr>
          <w:rFonts w:cstheme="minorHAnsi"/>
          <w:sz w:val="24"/>
          <w:szCs w:val="24"/>
        </w:rPr>
      </w:pPr>
      <w:r w:rsidRPr="00AE7594">
        <w:rPr>
          <w:rFonts w:cstheme="minorHAnsi"/>
          <w:sz w:val="24"/>
          <w:szCs w:val="24"/>
        </w:rPr>
        <w:t>De sensibiliser les parties prenantes sur les avantages d’une gouvernance ouverte. </w:t>
      </w:r>
    </w:p>
    <w:p w14:paraId="28E8FA78" w14:textId="373D4FC6" w:rsidR="006843A3" w:rsidRPr="00AE7594" w:rsidRDefault="00A44A47" w:rsidP="00A44A47">
      <w:pPr>
        <w:spacing w:line="276" w:lineRule="auto"/>
        <w:jc w:val="both"/>
        <w:rPr>
          <w:rFonts w:cstheme="minorHAnsi"/>
          <w:sz w:val="24"/>
          <w:szCs w:val="24"/>
        </w:rPr>
      </w:pPr>
      <w:r w:rsidRPr="00AE7594">
        <w:rPr>
          <w:rFonts w:cstheme="minorHAnsi"/>
          <w:sz w:val="24"/>
          <w:szCs w:val="24"/>
        </w:rPr>
        <w:t xml:space="preserve"> </w:t>
      </w:r>
      <w:r w:rsidR="00352501" w:rsidRPr="00AE7594">
        <w:rPr>
          <w:rFonts w:cstheme="minorHAnsi"/>
          <w:sz w:val="24"/>
          <w:szCs w:val="24"/>
        </w:rPr>
        <w:t>Ce</w:t>
      </w:r>
      <w:r w:rsidRPr="00AE7594">
        <w:rPr>
          <w:rFonts w:cstheme="minorHAnsi"/>
          <w:sz w:val="24"/>
          <w:szCs w:val="24"/>
        </w:rPr>
        <w:t xml:space="preserve">s séances d’informations-sensibilisation </w:t>
      </w:r>
      <w:r w:rsidR="00352501" w:rsidRPr="00AE7594">
        <w:rPr>
          <w:rFonts w:cstheme="minorHAnsi"/>
          <w:sz w:val="24"/>
          <w:szCs w:val="24"/>
        </w:rPr>
        <w:t>devr</w:t>
      </w:r>
      <w:r w:rsidRPr="00AE7594">
        <w:rPr>
          <w:rFonts w:cstheme="minorHAnsi"/>
          <w:sz w:val="24"/>
          <w:szCs w:val="24"/>
        </w:rPr>
        <w:t>ont</w:t>
      </w:r>
      <w:r w:rsidR="00352501" w:rsidRPr="00AE7594">
        <w:rPr>
          <w:rFonts w:cstheme="minorHAnsi"/>
          <w:sz w:val="24"/>
          <w:szCs w:val="24"/>
        </w:rPr>
        <w:t xml:space="preserve"> permettre aux </w:t>
      </w:r>
      <w:r w:rsidRPr="00AE7594">
        <w:rPr>
          <w:rFonts w:cstheme="minorHAnsi"/>
          <w:sz w:val="24"/>
          <w:szCs w:val="24"/>
        </w:rPr>
        <w:t>acteurs ciblés</w:t>
      </w:r>
      <w:r w:rsidR="00352501" w:rsidRPr="00AE7594">
        <w:rPr>
          <w:rFonts w:cstheme="minorHAnsi"/>
          <w:sz w:val="24"/>
          <w:szCs w:val="24"/>
        </w:rPr>
        <w:t xml:space="preserve"> </w:t>
      </w:r>
      <w:r w:rsidR="006843A3" w:rsidRPr="00AE7594">
        <w:rPr>
          <w:rFonts w:cstheme="minorHAnsi"/>
          <w:sz w:val="24"/>
          <w:szCs w:val="24"/>
        </w:rPr>
        <w:t xml:space="preserve">de : </w:t>
      </w:r>
    </w:p>
    <w:p w14:paraId="1A7F9142" w14:textId="77777777" w:rsidR="00D45B46" w:rsidRDefault="006843A3" w:rsidP="00B23AA6">
      <w:pPr>
        <w:pStyle w:val="Paragraphedeliste"/>
        <w:numPr>
          <w:ilvl w:val="0"/>
          <w:numId w:val="4"/>
        </w:numPr>
        <w:spacing w:line="276" w:lineRule="auto"/>
        <w:jc w:val="both"/>
        <w:rPr>
          <w:rFonts w:cstheme="minorHAnsi"/>
          <w:sz w:val="24"/>
          <w:szCs w:val="24"/>
        </w:rPr>
      </w:pPr>
      <w:r w:rsidRPr="00B23AA6">
        <w:rPr>
          <w:rFonts w:cstheme="minorHAnsi"/>
          <w:b/>
          <w:sz w:val="24"/>
          <w:szCs w:val="24"/>
        </w:rPr>
        <w:t>M</w:t>
      </w:r>
      <w:r w:rsidR="00352501" w:rsidRPr="00B23AA6">
        <w:rPr>
          <w:rFonts w:cstheme="minorHAnsi"/>
          <w:b/>
          <w:sz w:val="24"/>
          <w:szCs w:val="24"/>
        </w:rPr>
        <w:t xml:space="preserve">ieux appréhender des notions </w:t>
      </w:r>
      <w:r w:rsidRPr="00B23AA6">
        <w:rPr>
          <w:rFonts w:cstheme="minorHAnsi"/>
          <w:b/>
          <w:sz w:val="24"/>
          <w:szCs w:val="24"/>
        </w:rPr>
        <w:t>de Gouvernement Ouvert</w:t>
      </w:r>
      <w:r w:rsidRPr="00B23AA6">
        <w:rPr>
          <w:rFonts w:cstheme="minorHAnsi"/>
          <w:sz w:val="24"/>
          <w:szCs w:val="24"/>
        </w:rPr>
        <w:t xml:space="preserve"> </w:t>
      </w:r>
      <w:r w:rsidR="00352501" w:rsidRPr="00B23AA6">
        <w:rPr>
          <w:rFonts w:cstheme="minorHAnsi"/>
          <w:sz w:val="24"/>
          <w:szCs w:val="24"/>
        </w:rPr>
        <w:t xml:space="preserve">telles que : la philosophie du PGO, les différentes procédures de mise en œuvre, les grandes lignes de la participation publique et citoyenne, l’importance de la co-construction et les mécanismes de dialogue permanent, les engagements du gouvernement, les critères d’évaluation et de MEI etc. </w:t>
      </w:r>
    </w:p>
    <w:p w14:paraId="0CDDA184" w14:textId="244CC4CC" w:rsidR="006843A3" w:rsidRPr="00B23AA6" w:rsidRDefault="00D45B46" w:rsidP="00B23AA6">
      <w:pPr>
        <w:pStyle w:val="Paragraphedeliste"/>
        <w:numPr>
          <w:ilvl w:val="0"/>
          <w:numId w:val="4"/>
        </w:numPr>
        <w:spacing w:line="276" w:lineRule="auto"/>
        <w:jc w:val="both"/>
        <w:rPr>
          <w:rFonts w:cstheme="minorHAnsi"/>
          <w:sz w:val="24"/>
          <w:szCs w:val="24"/>
        </w:rPr>
      </w:pPr>
      <w:r w:rsidRPr="00D45B46">
        <w:rPr>
          <w:rFonts w:cstheme="minorHAnsi"/>
          <w:b/>
          <w:bCs/>
          <w:sz w:val="24"/>
          <w:szCs w:val="24"/>
        </w:rPr>
        <w:t>Donner</w:t>
      </w:r>
      <w:r w:rsidR="00352501" w:rsidRPr="00D45B46">
        <w:rPr>
          <w:rFonts w:cstheme="minorHAnsi"/>
          <w:b/>
          <w:bCs/>
          <w:sz w:val="24"/>
          <w:szCs w:val="24"/>
        </w:rPr>
        <w:t xml:space="preserve"> des rudiments pour échanger de façon déconstruite sur les principes de base du Gouvernement Ouvert</w:t>
      </w:r>
      <w:r w:rsidR="00352501" w:rsidRPr="00B23AA6">
        <w:rPr>
          <w:rFonts w:cstheme="minorHAnsi"/>
          <w:sz w:val="24"/>
          <w:szCs w:val="24"/>
        </w:rPr>
        <w:t xml:space="preserve"> que sont : </w:t>
      </w:r>
    </w:p>
    <w:p w14:paraId="2D8A0937" w14:textId="77777777" w:rsidR="006843A3" w:rsidRPr="00B23AA6" w:rsidRDefault="00352501" w:rsidP="00B23AA6">
      <w:pPr>
        <w:pStyle w:val="Paragraphedeliste"/>
        <w:numPr>
          <w:ilvl w:val="0"/>
          <w:numId w:val="5"/>
        </w:numPr>
        <w:spacing w:line="276" w:lineRule="auto"/>
        <w:jc w:val="both"/>
        <w:rPr>
          <w:rFonts w:cstheme="minorHAnsi"/>
          <w:sz w:val="24"/>
          <w:szCs w:val="24"/>
        </w:rPr>
      </w:pPr>
      <w:r w:rsidRPr="00B23AA6">
        <w:rPr>
          <w:rFonts w:cstheme="minorHAnsi"/>
          <w:sz w:val="24"/>
          <w:szCs w:val="24"/>
        </w:rPr>
        <w:t xml:space="preserve">La consultation et participation de la société civile et des citoyens à la décision publique ; les citoyens et la citoyenneté active ; </w:t>
      </w:r>
    </w:p>
    <w:p w14:paraId="239048AA" w14:textId="77777777" w:rsidR="006843A3" w:rsidRPr="00B23AA6" w:rsidRDefault="00352501" w:rsidP="00B23AA6">
      <w:pPr>
        <w:pStyle w:val="Paragraphedeliste"/>
        <w:numPr>
          <w:ilvl w:val="0"/>
          <w:numId w:val="5"/>
        </w:numPr>
        <w:spacing w:line="276" w:lineRule="auto"/>
        <w:jc w:val="both"/>
        <w:rPr>
          <w:rFonts w:cstheme="minorHAnsi"/>
          <w:sz w:val="24"/>
          <w:szCs w:val="24"/>
        </w:rPr>
      </w:pPr>
      <w:r w:rsidRPr="00B23AA6">
        <w:rPr>
          <w:rFonts w:cstheme="minorHAnsi"/>
          <w:sz w:val="24"/>
          <w:szCs w:val="24"/>
        </w:rPr>
        <w:t xml:space="preserve">L’ouverture et le partage des données publiques ; </w:t>
      </w:r>
    </w:p>
    <w:p w14:paraId="714078BF" w14:textId="77777777" w:rsidR="006843A3" w:rsidRPr="00B23AA6" w:rsidRDefault="00352501" w:rsidP="00B23AA6">
      <w:pPr>
        <w:pStyle w:val="Paragraphedeliste"/>
        <w:numPr>
          <w:ilvl w:val="0"/>
          <w:numId w:val="5"/>
        </w:numPr>
        <w:spacing w:line="276" w:lineRule="auto"/>
        <w:jc w:val="both"/>
        <w:rPr>
          <w:rFonts w:cstheme="minorHAnsi"/>
          <w:sz w:val="24"/>
          <w:szCs w:val="24"/>
        </w:rPr>
      </w:pPr>
      <w:r w:rsidRPr="00B23AA6">
        <w:rPr>
          <w:rFonts w:cstheme="minorHAnsi"/>
          <w:sz w:val="24"/>
          <w:szCs w:val="24"/>
        </w:rPr>
        <w:t xml:space="preserve">La co-construction des politiques publiques et des services publics ; le Gouvernement à l’ère du Numérique et de la co-construction ; </w:t>
      </w:r>
    </w:p>
    <w:p w14:paraId="5165332B" w14:textId="77777777" w:rsidR="006843A3" w:rsidRPr="00B23AA6" w:rsidRDefault="00352501" w:rsidP="00B23AA6">
      <w:pPr>
        <w:pStyle w:val="Paragraphedeliste"/>
        <w:numPr>
          <w:ilvl w:val="0"/>
          <w:numId w:val="5"/>
        </w:numPr>
        <w:spacing w:line="276" w:lineRule="auto"/>
        <w:jc w:val="both"/>
        <w:rPr>
          <w:rFonts w:cstheme="minorHAnsi"/>
          <w:sz w:val="24"/>
          <w:szCs w:val="24"/>
        </w:rPr>
      </w:pPr>
      <w:r w:rsidRPr="00B23AA6">
        <w:rPr>
          <w:rFonts w:cstheme="minorHAnsi"/>
          <w:sz w:val="24"/>
          <w:szCs w:val="24"/>
        </w:rPr>
        <w:t xml:space="preserve">Le dialogue autorités-OSC ; </w:t>
      </w:r>
    </w:p>
    <w:p w14:paraId="3268D529" w14:textId="77777777" w:rsidR="006843A3" w:rsidRPr="00B23AA6" w:rsidRDefault="00352501" w:rsidP="00B23AA6">
      <w:pPr>
        <w:pStyle w:val="Paragraphedeliste"/>
        <w:numPr>
          <w:ilvl w:val="0"/>
          <w:numId w:val="5"/>
        </w:numPr>
        <w:spacing w:line="276" w:lineRule="auto"/>
        <w:jc w:val="both"/>
        <w:rPr>
          <w:rFonts w:cstheme="minorHAnsi"/>
          <w:sz w:val="24"/>
          <w:szCs w:val="24"/>
        </w:rPr>
      </w:pPr>
      <w:r w:rsidRPr="00B23AA6">
        <w:rPr>
          <w:rFonts w:cstheme="minorHAnsi"/>
          <w:sz w:val="24"/>
          <w:szCs w:val="24"/>
        </w:rPr>
        <w:t>L’ouverture des processus de décision et à l’élaboration d’u</w:t>
      </w:r>
      <w:r w:rsidR="006843A3" w:rsidRPr="00B23AA6">
        <w:rPr>
          <w:rFonts w:cstheme="minorHAnsi"/>
          <w:sz w:val="24"/>
          <w:szCs w:val="24"/>
        </w:rPr>
        <w:t>ne culture de la redevabilité ;</w:t>
      </w:r>
    </w:p>
    <w:p w14:paraId="7AC645E1" w14:textId="77777777" w:rsidR="00352501" w:rsidRPr="00B23AA6" w:rsidRDefault="00352501" w:rsidP="00B23AA6">
      <w:pPr>
        <w:pStyle w:val="Paragraphedeliste"/>
        <w:numPr>
          <w:ilvl w:val="0"/>
          <w:numId w:val="5"/>
        </w:numPr>
        <w:spacing w:line="276" w:lineRule="auto"/>
        <w:jc w:val="both"/>
        <w:rPr>
          <w:rFonts w:cstheme="minorHAnsi"/>
          <w:sz w:val="24"/>
          <w:szCs w:val="24"/>
        </w:rPr>
      </w:pPr>
      <w:r w:rsidRPr="00B23AA6">
        <w:rPr>
          <w:rFonts w:cstheme="minorHAnsi"/>
          <w:sz w:val="24"/>
          <w:szCs w:val="24"/>
        </w:rPr>
        <w:lastRenderedPageBreak/>
        <w:t xml:space="preserve">Le rôle de chacun dans le </w:t>
      </w:r>
      <w:r w:rsidR="00EF26FC" w:rsidRPr="00B23AA6">
        <w:rPr>
          <w:rFonts w:cstheme="minorHAnsi"/>
          <w:sz w:val="24"/>
          <w:szCs w:val="24"/>
        </w:rPr>
        <w:t>cadre du gouvernement ouvert et du</w:t>
      </w:r>
      <w:r w:rsidRPr="00B23AA6">
        <w:rPr>
          <w:rFonts w:cstheme="minorHAnsi"/>
          <w:sz w:val="24"/>
          <w:szCs w:val="24"/>
        </w:rPr>
        <w:t xml:space="preserve"> PGO</w:t>
      </w:r>
      <w:r w:rsidR="00EF26FC" w:rsidRPr="00B23AA6">
        <w:rPr>
          <w:rFonts w:cstheme="minorHAnsi"/>
          <w:sz w:val="24"/>
          <w:szCs w:val="24"/>
        </w:rPr>
        <w:t xml:space="preserve"> (administration/société civile/médias/parlementaires).</w:t>
      </w:r>
    </w:p>
    <w:p w14:paraId="2C4DAE4E" w14:textId="4B7E888C" w:rsidR="00965C5D" w:rsidRDefault="00965C5D" w:rsidP="00B23AA6">
      <w:pPr>
        <w:spacing w:line="276" w:lineRule="auto"/>
        <w:jc w:val="both"/>
        <w:rPr>
          <w:rFonts w:cstheme="minorHAnsi"/>
          <w:sz w:val="24"/>
          <w:szCs w:val="24"/>
        </w:rPr>
      </w:pPr>
      <w:r w:rsidRPr="00B23AA6">
        <w:rPr>
          <w:rFonts w:cstheme="minorHAnsi"/>
          <w:sz w:val="24"/>
          <w:szCs w:val="24"/>
        </w:rPr>
        <w:t xml:space="preserve">Expertise France prendra en charge le déploiement </w:t>
      </w:r>
      <w:r w:rsidR="00A11E0F" w:rsidRPr="00B23AA6">
        <w:rPr>
          <w:rFonts w:cstheme="minorHAnsi"/>
          <w:sz w:val="24"/>
          <w:szCs w:val="24"/>
        </w:rPr>
        <w:t xml:space="preserve">logistique </w:t>
      </w:r>
      <w:r w:rsidRPr="00B23AA6">
        <w:rPr>
          <w:rFonts w:cstheme="minorHAnsi"/>
          <w:sz w:val="24"/>
          <w:szCs w:val="24"/>
        </w:rPr>
        <w:t>de</w:t>
      </w:r>
      <w:r w:rsidR="00254865" w:rsidRPr="00B23AA6">
        <w:rPr>
          <w:rFonts w:cstheme="minorHAnsi"/>
          <w:sz w:val="24"/>
          <w:szCs w:val="24"/>
        </w:rPr>
        <w:t>s</w:t>
      </w:r>
      <w:r w:rsidRPr="00B23AA6">
        <w:rPr>
          <w:rFonts w:cstheme="minorHAnsi"/>
          <w:sz w:val="24"/>
          <w:szCs w:val="24"/>
        </w:rPr>
        <w:t xml:space="preserve"> </w:t>
      </w:r>
      <w:r w:rsidR="00D45B46">
        <w:rPr>
          <w:rFonts w:cstheme="minorHAnsi"/>
          <w:sz w:val="24"/>
          <w:szCs w:val="24"/>
        </w:rPr>
        <w:t>séances de sensibilisation</w:t>
      </w:r>
      <w:r w:rsidR="00A11E0F" w:rsidRPr="00B23AA6">
        <w:rPr>
          <w:rFonts w:cstheme="minorHAnsi"/>
          <w:sz w:val="24"/>
          <w:szCs w:val="24"/>
        </w:rPr>
        <w:t xml:space="preserve"> </w:t>
      </w:r>
      <w:r w:rsidR="00A44A47" w:rsidRPr="00B23AA6">
        <w:rPr>
          <w:rFonts w:cstheme="minorHAnsi"/>
          <w:sz w:val="24"/>
          <w:szCs w:val="24"/>
        </w:rPr>
        <w:t>et assurera</w:t>
      </w:r>
      <w:r w:rsidR="00254865" w:rsidRPr="00B23AA6">
        <w:rPr>
          <w:rFonts w:cstheme="minorHAnsi"/>
          <w:sz w:val="24"/>
          <w:szCs w:val="24"/>
        </w:rPr>
        <w:t xml:space="preserve"> </w:t>
      </w:r>
      <w:r w:rsidR="00A11E0F" w:rsidRPr="00B23AA6">
        <w:rPr>
          <w:rFonts w:cstheme="minorHAnsi"/>
          <w:sz w:val="24"/>
          <w:szCs w:val="24"/>
        </w:rPr>
        <w:t xml:space="preserve">la prise en charge des </w:t>
      </w:r>
      <w:bookmarkStart w:id="0" w:name="_Hlk158044079"/>
      <w:r w:rsidR="00A11E0F" w:rsidRPr="00B23AA6">
        <w:rPr>
          <w:rFonts w:cstheme="minorHAnsi"/>
          <w:sz w:val="24"/>
          <w:szCs w:val="24"/>
        </w:rPr>
        <w:t>facilitateurs.rices</w:t>
      </w:r>
      <w:r w:rsidR="00A44A47">
        <w:rPr>
          <w:rFonts w:cstheme="minorHAnsi"/>
          <w:sz w:val="24"/>
          <w:szCs w:val="24"/>
        </w:rPr>
        <w:t xml:space="preserve"> </w:t>
      </w:r>
      <w:bookmarkEnd w:id="0"/>
      <w:r w:rsidR="00A44A47">
        <w:rPr>
          <w:rFonts w:cstheme="minorHAnsi"/>
          <w:sz w:val="24"/>
          <w:szCs w:val="24"/>
        </w:rPr>
        <w:t>chargés d’animer les séances de sensibilisation</w:t>
      </w:r>
      <w:r w:rsidR="00A11E0F" w:rsidRPr="00B23AA6">
        <w:rPr>
          <w:rFonts w:cstheme="minorHAnsi"/>
          <w:sz w:val="24"/>
          <w:szCs w:val="24"/>
        </w:rPr>
        <w:t>.</w:t>
      </w:r>
    </w:p>
    <w:p w14:paraId="1CE48270" w14:textId="313B7579" w:rsidR="00612684" w:rsidRDefault="00612684" w:rsidP="00B23AA6">
      <w:pPr>
        <w:spacing w:line="276" w:lineRule="auto"/>
        <w:jc w:val="both"/>
        <w:rPr>
          <w:rFonts w:cstheme="minorHAnsi"/>
          <w:b/>
          <w:bCs/>
          <w:color w:val="0070C0"/>
          <w:sz w:val="24"/>
          <w:szCs w:val="24"/>
        </w:rPr>
      </w:pPr>
      <w:r w:rsidRPr="00612684">
        <w:rPr>
          <w:rFonts w:cstheme="minorHAnsi"/>
          <w:b/>
          <w:bCs/>
          <w:color w:val="0070C0"/>
          <w:sz w:val="24"/>
          <w:szCs w:val="24"/>
        </w:rPr>
        <w:t>Zones d’intervention</w:t>
      </w:r>
    </w:p>
    <w:p w14:paraId="00D90A18" w14:textId="47D4F808" w:rsidR="00612684" w:rsidRPr="00612684" w:rsidRDefault="00612684" w:rsidP="00B23AA6">
      <w:pPr>
        <w:spacing w:line="276" w:lineRule="auto"/>
        <w:jc w:val="both"/>
        <w:rPr>
          <w:rFonts w:cstheme="minorHAnsi"/>
          <w:color w:val="000000" w:themeColor="text1"/>
          <w:sz w:val="24"/>
          <w:szCs w:val="24"/>
        </w:rPr>
      </w:pPr>
      <w:r w:rsidRPr="00612684">
        <w:rPr>
          <w:rFonts w:cstheme="minorHAnsi"/>
          <w:color w:val="000000" w:themeColor="text1"/>
          <w:sz w:val="24"/>
          <w:szCs w:val="24"/>
        </w:rPr>
        <w:t xml:space="preserve">Les séances d’information sensibilisation se </w:t>
      </w:r>
      <w:r w:rsidR="00D45B46" w:rsidRPr="00612684">
        <w:rPr>
          <w:rFonts w:cstheme="minorHAnsi"/>
          <w:color w:val="000000" w:themeColor="text1"/>
          <w:sz w:val="24"/>
          <w:szCs w:val="24"/>
        </w:rPr>
        <w:t>dérouleront</w:t>
      </w:r>
      <w:r w:rsidRPr="00612684">
        <w:rPr>
          <w:rFonts w:cstheme="minorHAnsi"/>
          <w:color w:val="000000" w:themeColor="text1"/>
          <w:sz w:val="24"/>
          <w:szCs w:val="24"/>
        </w:rPr>
        <w:t xml:space="preserve"> dans 06 villes regroupés en trois (03) axes : </w:t>
      </w:r>
    </w:p>
    <w:p w14:paraId="5665405E" w14:textId="44E792A9" w:rsidR="00612684" w:rsidRPr="00D45B46" w:rsidRDefault="00612684" w:rsidP="00D45B46">
      <w:pPr>
        <w:pStyle w:val="Paragraphedeliste"/>
        <w:numPr>
          <w:ilvl w:val="0"/>
          <w:numId w:val="13"/>
        </w:numPr>
        <w:spacing w:line="276" w:lineRule="auto"/>
        <w:jc w:val="both"/>
        <w:rPr>
          <w:rFonts w:cstheme="minorHAnsi"/>
          <w:color w:val="000000" w:themeColor="text1"/>
          <w:sz w:val="24"/>
          <w:szCs w:val="24"/>
        </w:rPr>
      </w:pPr>
      <w:r w:rsidRPr="00D45B46">
        <w:rPr>
          <w:rFonts w:cstheme="minorHAnsi"/>
          <w:b/>
          <w:bCs/>
          <w:color w:val="000000" w:themeColor="text1"/>
          <w:sz w:val="24"/>
          <w:szCs w:val="24"/>
        </w:rPr>
        <w:t>Axe 1 :</w:t>
      </w:r>
      <w:r w:rsidRPr="00D45B46">
        <w:rPr>
          <w:rFonts w:cstheme="minorHAnsi"/>
          <w:color w:val="000000" w:themeColor="text1"/>
          <w:sz w:val="24"/>
          <w:szCs w:val="24"/>
        </w:rPr>
        <w:t xml:space="preserve"> Yamoussoukro – Gagnoa</w:t>
      </w:r>
    </w:p>
    <w:p w14:paraId="52CB2952" w14:textId="247911C2" w:rsidR="00612684" w:rsidRPr="00D45B46" w:rsidRDefault="00612684" w:rsidP="00D45B46">
      <w:pPr>
        <w:pStyle w:val="Paragraphedeliste"/>
        <w:numPr>
          <w:ilvl w:val="0"/>
          <w:numId w:val="13"/>
        </w:numPr>
        <w:spacing w:line="276" w:lineRule="auto"/>
        <w:jc w:val="both"/>
        <w:rPr>
          <w:rFonts w:cstheme="minorHAnsi"/>
          <w:color w:val="000000" w:themeColor="text1"/>
          <w:sz w:val="24"/>
          <w:szCs w:val="24"/>
          <w:lang w:val="pt-BR"/>
        </w:rPr>
      </w:pPr>
      <w:r w:rsidRPr="00D45B46">
        <w:rPr>
          <w:rFonts w:cstheme="minorHAnsi"/>
          <w:b/>
          <w:bCs/>
          <w:color w:val="000000" w:themeColor="text1"/>
          <w:sz w:val="24"/>
          <w:szCs w:val="24"/>
          <w:lang w:val="pt-BR"/>
        </w:rPr>
        <w:t>Axe 2 :</w:t>
      </w:r>
      <w:r w:rsidRPr="00D45B46">
        <w:rPr>
          <w:rFonts w:cstheme="minorHAnsi"/>
          <w:color w:val="000000" w:themeColor="text1"/>
          <w:sz w:val="24"/>
          <w:szCs w:val="24"/>
          <w:lang w:val="pt-BR"/>
        </w:rPr>
        <w:t xml:space="preserve"> Abengourou – Adzopé</w:t>
      </w:r>
    </w:p>
    <w:p w14:paraId="2562B7E1" w14:textId="7653D32F" w:rsidR="00612684" w:rsidRPr="00D45B46" w:rsidRDefault="00612684" w:rsidP="00D45B46">
      <w:pPr>
        <w:pStyle w:val="Paragraphedeliste"/>
        <w:numPr>
          <w:ilvl w:val="0"/>
          <w:numId w:val="13"/>
        </w:numPr>
        <w:spacing w:line="276" w:lineRule="auto"/>
        <w:jc w:val="both"/>
        <w:rPr>
          <w:rFonts w:cstheme="minorHAnsi"/>
          <w:color w:val="000000" w:themeColor="text1"/>
          <w:sz w:val="24"/>
          <w:szCs w:val="24"/>
          <w:lang w:val="pt-BR"/>
        </w:rPr>
      </w:pPr>
      <w:r w:rsidRPr="00D45B46">
        <w:rPr>
          <w:rFonts w:cstheme="minorHAnsi"/>
          <w:b/>
          <w:bCs/>
          <w:color w:val="000000" w:themeColor="text1"/>
          <w:sz w:val="24"/>
          <w:szCs w:val="24"/>
          <w:lang w:val="pt-BR"/>
        </w:rPr>
        <w:t>Axe 3 :</w:t>
      </w:r>
      <w:r w:rsidRPr="00D45B46">
        <w:rPr>
          <w:rFonts w:cstheme="minorHAnsi"/>
          <w:color w:val="000000" w:themeColor="text1"/>
          <w:sz w:val="24"/>
          <w:szCs w:val="24"/>
          <w:lang w:val="pt-BR"/>
        </w:rPr>
        <w:t xml:space="preserve"> Ferké - Katiola</w:t>
      </w:r>
    </w:p>
    <w:p w14:paraId="4F2F8BD7" w14:textId="77777777" w:rsidR="00D45B46" w:rsidRPr="00D45B46" w:rsidRDefault="00D45B46" w:rsidP="00D45B46">
      <w:pPr>
        <w:spacing w:line="256" w:lineRule="auto"/>
        <w:rPr>
          <w:rFonts w:ascii="Leelawadee UI" w:hAnsi="Leelawadee UI" w:cs="Leelawadee UI"/>
        </w:rPr>
      </w:pPr>
      <w:r w:rsidRPr="00D45B46">
        <w:rPr>
          <w:rFonts w:ascii="Leelawadee UI" w:hAnsi="Leelawadee UI" w:cs="Leelawadee UI"/>
        </w:rPr>
        <w:t>Sur chaque axe, on passera six jours : dans la première ville visitée, on passera trois nuitées (le jour d’arrivée, la journée de préparation et la journée de sensibilisation) ; au quatrième jour on partira pour la ville suivante (journée de préparation) et le cinquième jour (journée de sensibilisation) ; le sixième jour est le retour sur Abidjan.</w:t>
      </w:r>
    </w:p>
    <w:p w14:paraId="00C3FC58" w14:textId="5C2F8B02" w:rsidR="00D45B46" w:rsidRPr="00D45B46" w:rsidRDefault="00D45B46" w:rsidP="00D45B46">
      <w:pPr>
        <w:spacing w:line="256" w:lineRule="auto"/>
        <w:rPr>
          <w:rFonts w:ascii="Leelawadee UI" w:hAnsi="Leelawadee UI" w:cs="Leelawadee UI"/>
        </w:rPr>
      </w:pPr>
      <w:r w:rsidRPr="00D45B46">
        <w:rPr>
          <w:rFonts w:ascii="Leelawadee UI" w:hAnsi="Leelawadee UI" w:cs="Leelawadee UI"/>
        </w:rPr>
        <w:t xml:space="preserve">Dans chaque ville, la salle de la Préfecture </w:t>
      </w:r>
      <w:r>
        <w:rPr>
          <w:rFonts w:ascii="Leelawadee UI" w:hAnsi="Leelawadee UI" w:cs="Leelawadee UI"/>
        </w:rPr>
        <w:t>servira de lieu d’information-sensibilisation</w:t>
      </w:r>
      <w:r w:rsidRPr="00D45B46">
        <w:rPr>
          <w:rFonts w:ascii="Leelawadee UI" w:hAnsi="Leelawadee UI" w:cs="Leelawadee UI"/>
        </w:rPr>
        <w:t xml:space="preserve"> si aucune entrave majeure ne vient perturber les dispositions prises</w:t>
      </w:r>
      <w:r>
        <w:rPr>
          <w:rFonts w:ascii="Leelawadee UI" w:hAnsi="Leelawadee UI" w:cs="Leelawadee UI"/>
        </w:rPr>
        <w:t>. En sus, quatre personnes sont prévues par axe : deux (02) formateurs, accompagnés du facilitateur et d’une personne de l’équipe PAGOF2.</w:t>
      </w:r>
    </w:p>
    <w:p w14:paraId="3B24B982" w14:textId="1C3A39B1" w:rsidR="00B8322D" w:rsidRPr="00612684" w:rsidRDefault="003158C0" w:rsidP="00B23AA6">
      <w:pPr>
        <w:spacing w:line="276" w:lineRule="auto"/>
        <w:rPr>
          <w:rFonts w:cstheme="minorHAnsi"/>
          <w:b/>
          <w:color w:val="0070C0"/>
          <w:sz w:val="24"/>
          <w:szCs w:val="24"/>
        </w:rPr>
      </w:pPr>
      <w:r w:rsidRPr="00612684">
        <w:rPr>
          <w:rFonts w:cstheme="minorHAnsi"/>
          <w:b/>
          <w:color w:val="0070C0"/>
          <w:sz w:val="24"/>
          <w:szCs w:val="24"/>
        </w:rPr>
        <w:t>Participants cibles</w:t>
      </w:r>
    </w:p>
    <w:p w14:paraId="0AED7B88" w14:textId="64E9EBF4" w:rsidR="003158C0" w:rsidRPr="00B23AA6" w:rsidRDefault="003158C0" w:rsidP="00B23AA6">
      <w:pPr>
        <w:spacing w:line="276" w:lineRule="auto"/>
        <w:jc w:val="both"/>
        <w:rPr>
          <w:rFonts w:cstheme="minorHAnsi"/>
          <w:b/>
          <w:color w:val="0070C0"/>
          <w:sz w:val="24"/>
          <w:szCs w:val="24"/>
        </w:rPr>
      </w:pPr>
      <w:r w:rsidRPr="00B23AA6">
        <w:rPr>
          <w:rFonts w:eastAsia="Calibri" w:cstheme="minorHAnsi"/>
          <w:sz w:val="24"/>
          <w:szCs w:val="24"/>
        </w:rPr>
        <w:t xml:space="preserve">La formation s’adresse à un groupe d’une </w:t>
      </w:r>
      <w:r w:rsidR="00A44A47">
        <w:rPr>
          <w:rFonts w:eastAsia="Calibri" w:cstheme="minorHAnsi"/>
          <w:sz w:val="24"/>
          <w:szCs w:val="24"/>
        </w:rPr>
        <w:t xml:space="preserve">cinquantaine </w:t>
      </w:r>
      <w:r w:rsidRPr="00B23AA6">
        <w:rPr>
          <w:rFonts w:eastAsia="Calibri" w:cstheme="minorHAnsi"/>
          <w:sz w:val="24"/>
          <w:szCs w:val="24"/>
        </w:rPr>
        <w:t xml:space="preserve">de personnes </w:t>
      </w:r>
      <w:r w:rsidR="00612684">
        <w:rPr>
          <w:rFonts w:eastAsia="Calibri" w:cstheme="minorHAnsi"/>
          <w:sz w:val="24"/>
          <w:szCs w:val="24"/>
        </w:rPr>
        <w:t>par région</w:t>
      </w:r>
      <w:r w:rsidR="00612684" w:rsidRPr="00B23AA6">
        <w:rPr>
          <w:rFonts w:eastAsia="Calibri" w:cstheme="minorHAnsi"/>
          <w:sz w:val="24"/>
          <w:szCs w:val="24"/>
        </w:rPr>
        <w:t xml:space="preserve"> </w:t>
      </w:r>
      <w:r w:rsidRPr="00B23AA6">
        <w:rPr>
          <w:rFonts w:eastAsia="Calibri" w:cstheme="minorHAnsi"/>
          <w:sz w:val="24"/>
          <w:szCs w:val="24"/>
        </w:rPr>
        <w:t xml:space="preserve">dont la moitié issue de la société civile </w:t>
      </w:r>
      <w:r w:rsidR="00612684">
        <w:rPr>
          <w:rFonts w:eastAsia="Calibri" w:cstheme="minorHAnsi"/>
          <w:sz w:val="24"/>
          <w:szCs w:val="24"/>
        </w:rPr>
        <w:t>des villes/</w:t>
      </w:r>
      <w:r w:rsidRPr="00B23AA6">
        <w:rPr>
          <w:rFonts w:eastAsia="Calibri" w:cstheme="minorHAnsi"/>
          <w:sz w:val="24"/>
          <w:szCs w:val="24"/>
        </w:rPr>
        <w:t xml:space="preserve">communes sélectionnées, et l’autre moitié issue de l’administration, plus spécifiquement des représentants des ministères membre du comité technique OGP et ou des régions. Dans les faits, seront </w:t>
      </w:r>
      <w:r w:rsidR="00612684">
        <w:rPr>
          <w:rFonts w:eastAsia="Calibri" w:cstheme="minorHAnsi"/>
          <w:sz w:val="24"/>
          <w:szCs w:val="24"/>
        </w:rPr>
        <w:t>in</w:t>
      </w:r>
      <w:r w:rsidRPr="00B23AA6">
        <w:rPr>
          <w:rFonts w:eastAsia="Calibri" w:cstheme="minorHAnsi"/>
          <w:sz w:val="24"/>
          <w:szCs w:val="24"/>
        </w:rPr>
        <w:t>formés </w:t>
      </w:r>
      <w:r w:rsidR="00612684">
        <w:rPr>
          <w:rFonts w:eastAsia="Calibri" w:cstheme="minorHAnsi"/>
          <w:sz w:val="24"/>
          <w:szCs w:val="24"/>
        </w:rPr>
        <w:t>et sensibilisés</w:t>
      </w:r>
      <w:r w:rsidR="00612684" w:rsidRPr="00B23AA6">
        <w:rPr>
          <w:rFonts w:eastAsia="Calibri" w:cstheme="minorHAnsi"/>
          <w:sz w:val="24"/>
          <w:szCs w:val="24"/>
        </w:rPr>
        <w:t xml:space="preserve"> :</w:t>
      </w:r>
    </w:p>
    <w:p w14:paraId="53A8D8F0" w14:textId="5CFF0586" w:rsidR="003158C0" w:rsidRPr="00B23AA6" w:rsidRDefault="00612684" w:rsidP="00B23AA6">
      <w:pPr>
        <w:numPr>
          <w:ilvl w:val="0"/>
          <w:numId w:val="8"/>
        </w:numPr>
        <w:spacing w:before="100" w:beforeAutospacing="1" w:after="100" w:afterAutospacing="1" w:line="276" w:lineRule="auto"/>
        <w:contextualSpacing/>
        <w:jc w:val="both"/>
        <w:rPr>
          <w:rFonts w:eastAsia="Calibri" w:cstheme="minorHAnsi"/>
          <w:b/>
          <w:bCs/>
          <w:sz w:val="24"/>
          <w:szCs w:val="24"/>
        </w:rPr>
      </w:pPr>
      <w:r>
        <w:rPr>
          <w:rFonts w:eastAsia="Calibri" w:cstheme="minorHAnsi"/>
          <w:b/>
          <w:bCs/>
          <w:sz w:val="24"/>
          <w:szCs w:val="24"/>
        </w:rPr>
        <w:t>150</w:t>
      </w:r>
      <w:r w:rsidR="003158C0" w:rsidRPr="00B23AA6">
        <w:rPr>
          <w:rFonts w:eastAsia="Calibri" w:cstheme="minorHAnsi"/>
          <w:b/>
          <w:bCs/>
          <w:sz w:val="24"/>
          <w:szCs w:val="24"/>
        </w:rPr>
        <w:t xml:space="preserve"> personnes des organisations de la société civile</w:t>
      </w:r>
      <w:r>
        <w:rPr>
          <w:rFonts w:eastAsia="Calibri" w:cstheme="minorHAnsi"/>
          <w:b/>
          <w:bCs/>
          <w:sz w:val="24"/>
          <w:szCs w:val="24"/>
        </w:rPr>
        <w:t xml:space="preserve"> ainsi que des médias</w:t>
      </w:r>
      <w:r w:rsidR="003158C0" w:rsidRPr="00B23AA6">
        <w:rPr>
          <w:rFonts w:eastAsia="Calibri" w:cstheme="minorHAnsi"/>
          <w:b/>
          <w:bCs/>
          <w:sz w:val="24"/>
          <w:szCs w:val="24"/>
        </w:rPr>
        <w:t xml:space="preserve">, </w:t>
      </w:r>
    </w:p>
    <w:p w14:paraId="0F974270" w14:textId="01F8F611" w:rsidR="005B37ED" w:rsidRPr="00B23AA6" w:rsidRDefault="00612684" w:rsidP="00B23AA6">
      <w:pPr>
        <w:numPr>
          <w:ilvl w:val="0"/>
          <w:numId w:val="8"/>
        </w:numPr>
        <w:spacing w:before="100" w:beforeAutospacing="1" w:after="100" w:afterAutospacing="1" w:line="276" w:lineRule="auto"/>
        <w:contextualSpacing/>
        <w:jc w:val="both"/>
        <w:rPr>
          <w:rFonts w:eastAsia="Times New Roman" w:cstheme="minorHAnsi"/>
          <w:b/>
          <w:bCs/>
          <w:sz w:val="24"/>
          <w:szCs w:val="24"/>
        </w:rPr>
      </w:pPr>
      <w:r>
        <w:rPr>
          <w:rFonts w:eastAsia="Calibri" w:cstheme="minorHAnsi"/>
          <w:b/>
          <w:bCs/>
          <w:sz w:val="24"/>
          <w:szCs w:val="24"/>
        </w:rPr>
        <w:t>150</w:t>
      </w:r>
      <w:r w:rsidR="003158C0" w:rsidRPr="00B23AA6">
        <w:rPr>
          <w:rFonts w:eastAsia="Calibri" w:cstheme="minorHAnsi"/>
          <w:b/>
          <w:bCs/>
          <w:sz w:val="24"/>
          <w:szCs w:val="24"/>
        </w:rPr>
        <w:t xml:space="preserve"> cadres </w:t>
      </w:r>
      <w:r w:rsidR="005B37ED" w:rsidRPr="00B23AA6">
        <w:rPr>
          <w:rFonts w:eastAsia="Calibri" w:cstheme="minorHAnsi"/>
          <w:b/>
          <w:bCs/>
          <w:sz w:val="24"/>
          <w:szCs w:val="24"/>
        </w:rPr>
        <w:t xml:space="preserve">issus des ministères et ou des collectivités ciblées </w:t>
      </w:r>
    </w:p>
    <w:p w14:paraId="7A7971BF" w14:textId="77777777" w:rsidR="00437751" w:rsidRPr="00C028D3" w:rsidRDefault="00437751" w:rsidP="00B23AA6">
      <w:pPr>
        <w:spacing w:before="100" w:beforeAutospacing="1" w:after="100" w:afterAutospacing="1" w:line="276" w:lineRule="auto"/>
        <w:contextualSpacing/>
        <w:jc w:val="both"/>
        <w:rPr>
          <w:rFonts w:eastAsia="Times New Roman" w:cstheme="minorHAnsi"/>
          <w:sz w:val="10"/>
          <w:szCs w:val="10"/>
          <w:highlight w:val="cyan"/>
        </w:rPr>
      </w:pPr>
    </w:p>
    <w:p w14:paraId="38DC6E99" w14:textId="77777777" w:rsidR="003158C0" w:rsidRPr="00B23AA6" w:rsidRDefault="003158C0" w:rsidP="00B23AA6">
      <w:pPr>
        <w:spacing w:line="276" w:lineRule="auto"/>
        <w:rPr>
          <w:rFonts w:cstheme="minorHAnsi"/>
          <w:b/>
          <w:color w:val="0070C0"/>
          <w:sz w:val="24"/>
          <w:szCs w:val="24"/>
        </w:rPr>
      </w:pPr>
      <w:r w:rsidRPr="00B23AA6">
        <w:rPr>
          <w:rFonts w:cstheme="minorHAnsi"/>
          <w:b/>
          <w:color w:val="0070C0"/>
          <w:sz w:val="24"/>
          <w:szCs w:val="24"/>
        </w:rPr>
        <w:t>Livrables</w:t>
      </w:r>
    </w:p>
    <w:p w14:paraId="7B8BA7FD" w14:textId="7C417C0E" w:rsidR="005B37ED" w:rsidRPr="00B23AA6" w:rsidRDefault="00612684" w:rsidP="00B23AA6">
      <w:pPr>
        <w:pStyle w:val="Paragraphedelist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sz w:val="24"/>
          <w:szCs w:val="24"/>
        </w:rPr>
      </w:pPr>
      <w:r>
        <w:rPr>
          <w:rFonts w:eastAsia="Calibri" w:cstheme="minorHAnsi"/>
          <w:sz w:val="24"/>
          <w:szCs w:val="24"/>
        </w:rPr>
        <w:t>Information et sensibilisation des membres des OSCs et de l’administration ;</w:t>
      </w:r>
    </w:p>
    <w:p w14:paraId="37B88EE5" w14:textId="671DC2E6" w:rsidR="005B37ED" w:rsidRPr="00B23AA6" w:rsidRDefault="003158C0" w:rsidP="00B23AA6">
      <w:pPr>
        <w:pStyle w:val="Paragraphedelist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sz w:val="24"/>
          <w:szCs w:val="24"/>
        </w:rPr>
      </w:pPr>
      <w:r w:rsidRPr="00B23AA6">
        <w:rPr>
          <w:rFonts w:eastAsia="Calibri" w:cstheme="minorHAnsi"/>
          <w:sz w:val="24"/>
          <w:szCs w:val="24"/>
        </w:rPr>
        <w:t>Support</w:t>
      </w:r>
      <w:r w:rsidR="00612684">
        <w:rPr>
          <w:rFonts w:eastAsia="Calibri" w:cstheme="minorHAnsi"/>
          <w:sz w:val="24"/>
          <w:szCs w:val="24"/>
        </w:rPr>
        <w:t xml:space="preserve"> et</w:t>
      </w:r>
      <w:r w:rsidRPr="00B23AA6">
        <w:rPr>
          <w:rFonts w:eastAsia="Calibri" w:cstheme="minorHAnsi"/>
          <w:sz w:val="24"/>
          <w:szCs w:val="24"/>
        </w:rPr>
        <w:t xml:space="preserve"> </w:t>
      </w:r>
      <w:r w:rsidR="00612684">
        <w:rPr>
          <w:rFonts w:eastAsia="Calibri" w:cstheme="minorHAnsi"/>
          <w:sz w:val="24"/>
          <w:szCs w:val="24"/>
        </w:rPr>
        <w:t xml:space="preserve">outils </w:t>
      </w:r>
      <w:r w:rsidR="00612684" w:rsidRPr="00B23AA6">
        <w:rPr>
          <w:rFonts w:eastAsia="Calibri" w:cstheme="minorHAnsi"/>
          <w:sz w:val="24"/>
          <w:szCs w:val="24"/>
        </w:rPr>
        <w:t>(</w:t>
      </w:r>
      <w:proofErr w:type="spellStart"/>
      <w:r w:rsidRPr="00B23AA6">
        <w:rPr>
          <w:rFonts w:eastAsia="Calibri" w:cstheme="minorHAnsi"/>
          <w:sz w:val="24"/>
          <w:szCs w:val="24"/>
        </w:rPr>
        <w:t>ppt</w:t>
      </w:r>
      <w:proofErr w:type="spellEnd"/>
      <w:r w:rsidRPr="00B23AA6">
        <w:rPr>
          <w:rFonts w:eastAsia="Calibri" w:cstheme="minorHAnsi"/>
          <w:sz w:val="24"/>
          <w:szCs w:val="24"/>
        </w:rPr>
        <w:t xml:space="preserve"> et/ou guide) que les formateurs pourront utiliser pour</w:t>
      </w:r>
      <w:r w:rsidR="00612684">
        <w:rPr>
          <w:rFonts w:eastAsia="Calibri" w:cstheme="minorHAnsi"/>
          <w:sz w:val="24"/>
          <w:szCs w:val="24"/>
        </w:rPr>
        <w:t xml:space="preserve"> animer </w:t>
      </w:r>
      <w:r w:rsidR="00612684" w:rsidRPr="00B23AA6">
        <w:rPr>
          <w:rFonts w:eastAsia="Calibri" w:cstheme="minorHAnsi"/>
          <w:sz w:val="24"/>
          <w:szCs w:val="24"/>
        </w:rPr>
        <w:t>les</w:t>
      </w:r>
      <w:r w:rsidR="00612684">
        <w:rPr>
          <w:rFonts w:eastAsia="Calibri" w:cstheme="minorHAnsi"/>
          <w:sz w:val="24"/>
          <w:szCs w:val="24"/>
        </w:rPr>
        <w:t xml:space="preserve"> séances</w:t>
      </w:r>
      <w:r w:rsidR="00612684" w:rsidRPr="00612684">
        <w:rPr>
          <w:rFonts w:eastAsia="Calibri" w:cstheme="minorHAnsi"/>
          <w:sz w:val="24"/>
          <w:szCs w:val="24"/>
        </w:rPr>
        <w:t xml:space="preserve"> </w:t>
      </w:r>
      <w:r w:rsidR="00612684">
        <w:rPr>
          <w:rFonts w:eastAsia="Calibri" w:cstheme="minorHAnsi"/>
          <w:sz w:val="24"/>
          <w:szCs w:val="24"/>
        </w:rPr>
        <w:t>d’information et sensibilisation</w:t>
      </w:r>
    </w:p>
    <w:p w14:paraId="3E4EB5F1" w14:textId="77777777" w:rsidR="003158C0" w:rsidRPr="00B23AA6" w:rsidRDefault="003158C0" w:rsidP="00B23AA6">
      <w:pPr>
        <w:pStyle w:val="Paragraphedeliste"/>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sz w:val="24"/>
          <w:szCs w:val="24"/>
        </w:rPr>
      </w:pPr>
      <w:r w:rsidRPr="00B23AA6">
        <w:rPr>
          <w:rFonts w:eastAsia="Calibri" w:cstheme="minorHAnsi"/>
          <w:sz w:val="24"/>
          <w:szCs w:val="24"/>
        </w:rPr>
        <w:t>Rapport de mission</w:t>
      </w:r>
    </w:p>
    <w:p w14:paraId="6CA6B4B7" w14:textId="77777777" w:rsidR="003158C0" w:rsidRPr="00C028D3" w:rsidRDefault="003158C0" w:rsidP="00B23AA6">
      <w:pPr>
        <w:widowControl w:val="0"/>
        <w:spacing w:after="120" w:line="276" w:lineRule="auto"/>
        <w:ind w:left="720"/>
        <w:contextualSpacing/>
        <w:jc w:val="both"/>
        <w:rPr>
          <w:rFonts w:eastAsia="Calibri" w:cstheme="minorHAnsi"/>
          <w:sz w:val="10"/>
          <w:szCs w:val="10"/>
        </w:rPr>
      </w:pPr>
    </w:p>
    <w:p w14:paraId="526FCC56" w14:textId="77777777" w:rsidR="003158C0" w:rsidRPr="00B23AA6" w:rsidRDefault="003158C0" w:rsidP="00B23AA6">
      <w:pPr>
        <w:spacing w:line="276" w:lineRule="auto"/>
        <w:rPr>
          <w:rFonts w:cstheme="minorHAnsi"/>
          <w:b/>
          <w:color w:val="0070C0"/>
          <w:sz w:val="24"/>
          <w:szCs w:val="24"/>
        </w:rPr>
      </w:pPr>
      <w:r w:rsidRPr="00B23AA6">
        <w:rPr>
          <w:rFonts w:cstheme="minorHAnsi"/>
          <w:b/>
          <w:color w:val="0070C0"/>
          <w:sz w:val="24"/>
          <w:szCs w:val="24"/>
        </w:rPr>
        <w:t>Type de contrat</w:t>
      </w:r>
    </w:p>
    <w:p w14:paraId="11189E87" w14:textId="5B37E017" w:rsidR="00AE7594" w:rsidRPr="00B23AA6" w:rsidRDefault="003158C0" w:rsidP="00B23AA6">
      <w:pPr>
        <w:widowControl w:val="0"/>
        <w:spacing w:after="120" w:line="276" w:lineRule="auto"/>
        <w:jc w:val="both"/>
        <w:rPr>
          <w:rFonts w:eastAsia="Calibri" w:cstheme="minorHAnsi"/>
          <w:sz w:val="24"/>
          <w:szCs w:val="24"/>
        </w:rPr>
      </w:pPr>
      <w:r w:rsidRPr="00B23AA6">
        <w:rPr>
          <w:rFonts w:eastAsia="Calibri" w:cstheme="minorHAnsi"/>
          <w:sz w:val="24"/>
          <w:szCs w:val="24"/>
        </w:rPr>
        <w:t>Court terme</w:t>
      </w:r>
    </w:p>
    <w:p w14:paraId="3E507B7D" w14:textId="77777777" w:rsidR="003158C0" w:rsidRPr="00B23AA6" w:rsidRDefault="003158C0" w:rsidP="00B23AA6">
      <w:pPr>
        <w:spacing w:line="276" w:lineRule="auto"/>
        <w:rPr>
          <w:rFonts w:cstheme="minorHAnsi"/>
          <w:b/>
          <w:color w:val="0070C0"/>
          <w:sz w:val="24"/>
          <w:szCs w:val="24"/>
        </w:rPr>
      </w:pPr>
      <w:r w:rsidRPr="00B23AA6">
        <w:rPr>
          <w:rFonts w:cstheme="minorHAnsi"/>
          <w:b/>
          <w:color w:val="0070C0"/>
          <w:sz w:val="24"/>
          <w:szCs w:val="24"/>
        </w:rPr>
        <w:t>Nombre de jours d’expertise</w:t>
      </w:r>
    </w:p>
    <w:p w14:paraId="309E4526" w14:textId="6F28D258" w:rsidR="003158C0" w:rsidRPr="00B23AA6" w:rsidRDefault="003158C0" w:rsidP="00B23AA6">
      <w:pPr>
        <w:widowControl w:val="0"/>
        <w:spacing w:after="120" w:line="276" w:lineRule="auto"/>
        <w:jc w:val="both"/>
        <w:rPr>
          <w:rFonts w:eastAsia="Calibri" w:cstheme="minorHAnsi"/>
          <w:sz w:val="24"/>
          <w:szCs w:val="24"/>
        </w:rPr>
      </w:pPr>
      <w:r w:rsidRPr="00B23AA6">
        <w:rPr>
          <w:rFonts w:eastAsia="Calibri" w:cstheme="minorHAnsi"/>
          <w:sz w:val="24"/>
          <w:szCs w:val="24"/>
        </w:rPr>
        <w:t xml:space="preserve">Maximum </w:t>
      </w:r>
      <w:r w:rsidR="005B37ED" w:rsidRPr="00B23AA6">
        <w:rPr>
          <w:rFonts w:eastAsia="Calibri" w:cstheme="minorHAnsi"/>
          <w:sz w:val="24"/>
          <w:szCs w:val="24"/>
        </w:rPr>
        <w:t xml:space="preserve">de </w:t>
      </w:r>
      <w:r w:rsidR="00612684">
        <w:rPr>
          <w:rFonts w:eastAsia="Calibri" w:cstheme="minorHAnsi"/>
          <w:sz w:val="24"/>
          <w:szCs w:val="24"/>
        </w:rPr>
        <w:t>06</w:t>
      </w:r>
      <w:r w:rsidR="005B37ED" w:rsidRPr="00B23AA6">
        <w:rPr>
          <w:rFonts w:eastAsia="Calibri" w:cstheme="minorHAnsi"/>
          <w:sz w:val="24"/>
          <w:szCs w:val="24"/>
        </w:rPr>
        <w:t xml:space="preserve"> </w:t>
      </w:r>
      <w:r w:rsidRPr="00B23AA6">
        <w:rPr>
          <w:rFonts w:eastAsia="Calibri" w:cstheme="minorHAnsi"/>
          <w:sz w:val="24"/>
          <w:szCs w:val="24"/>
        </w:rPr>
        <w:t>jours</w:t>
      </w:r>
      <w:r w:rsidR="00612684">
        <w:rPr>
          <w:rFonts w:eastAsia="Calibri" w:cstheme="minorHAnsi"/>
          <w:sz w:val="24"/>
          <w:szCs w:val="24"/>
        </w:rPr>
        <w:t xml:space="preserve"> par facilitateur</w:t>
      </w:r>
      <w:r w:rsidRPr="00B23AA6">
        <w:rPr>
          <w:rFonts w:eastAsia="Calibri" w:cstheme="minorHAnsi"/>
          <w:sz w:val="24"/>
          <w:szCs w:val="24"/>
        </w:rPr>
        <w:t xml:space="preserve"> </w:t>
      </w:r>
      <w:r w:rsidR="005B37ED" w:rsidRPr="00B23AA6">
        <w:rPr>
          <w:rFonts w:eastAsia="Calibri" w:cstheme="minorHAnsi"/>
          <w:sz w:val="24"/>
          <w:szCs w:val="24"/>
        </w:rPr>
        <w:t>(</w:t>
      </w:r>
      <w:r w:rsidR="00612684">
        <w:rPr>
          <w:rFonts w:eastAsia="Calibri" w:cstheme="minorHAnsi"/>
          <w:sz w:val="24"/>
          <w:szCs w:val="24"/>
        </w:rPr>
        <w:t>1</w:t>
      </w:r>
      <w:r w:rsidR="005B37ED" w:rsidRPr="00B23AA6">
        <w:rPr>
          <w:rFonts w:eastAsia="Calibri" w:cstheme="minorHAnsi"/>
          <w:sz w:val="24"/>
          <w:szCs w:val="24"/>
        </w:rPr>
        <w:t xml:space="preserve"> jour de préparation ; </w:t>
      </w:r>
      <w:r w:rsidR="00612684">
        <w:rPr>
          <w:rFonts w:eastAsia="Calibri" w:cstheme="minorHAnsi"/>
          <w:sz w:val="24"/>
          <w:szCs w:val="24"/>
        </w:rPr>
        <w:t>4</w:t>
      </w:r>
      <w:r w:rsidRPr="00B23AA6">
        <w:rPr>
          <w:rFonts w:eastAsia="Calibri" w:cstheme="minorHAnsi"/>
          <w:sz w:val="24"/>
          <w:szCs w:val="24"/>
        </w:rPr>
        <w:t xml:space="preserve"> jours de formation ; 1 jour de reporting)</w:t>
      </w:r>
    </w:p>
    <w:p w14:paraId="56EA5348" w14:textId="04AFA266" w:rsidR="003158C0" w:rsidRPr="00AE7594" w:rsidRDefault="003158C0" w:rsidP="00B23AA6">
      <w:pPr>
        <w:spacing w:line="276" w:lineRule="auto"/>
        <w:rPr>
          <w:rFonts w:cstheme="minorHAnsi"/>
          <w:b/>
          <w:color w:val="0070C0"/>
          <w:sz w:val="24"/>
          <w:szCs w:val="24"/>
        </w:rPr>
      </w:pPr>
      <w:r w:rsidRPr="00B23AA6">
        <w:rPr>
          <w:rFonts w:cstheme="minorHAnsi"/>
          <w:b/>
          <w:color w:val="0070C0"/>
          <w:sz w:val="24"/>
          <w:szCs w:val="24"/>
        </w:rPr>
        <w:lastRenderedPageBreak/>
        <w:t>Lieu d’exécution</w:t>
      </w:r>
      <w:r w:rsidR="00AE7594" w:rsidRPr="00AE7594">
        <w:rPr>
          <w:rFonts w:cstheme="minorHAnsi"/>
          <w:b/>
          <w:color w:val="0070C0"/>
          <w:sz w:val="24"/>
          <w:szCs w:val="24"/>
        </w:rPr>
        <w:t xml:space="preserve"> </w:t>
      </w:r>
      <w:r w:rsidR="00AE7594">
        <w:rPr>
          <w:rFonts w:cstheme="minorHAnsi"/>
          <w:b/>
          <w:color w:val="0070C0"/>
          <w:sz w:val="24"/>
          <w:szCs w:val="24"/>
        </w:rPr>
        <w:t>et c</w:t>
      </w:r>
      <w:r w:rsidR="00AE7594" w:rsidRPr="00B23AA6">
        <w:rPr>
          <w:rFonts w:cstheme="minorHAnsi"/>
          <w:b/>
          <w:color w:val="0070C0"/>
          <w:sz w:val="24"/>
          <w:szCs w:val="24"/>
        </w:rPr>
        <w:t>alendrier prévisionnel</w:t>
      </w:r>
    </w:p>
    <w:p w14:paraId="31A17058" w14:textId="3CCE0485" w:rsidR="00AE7594" w:rsidRPr="00AE7594" w:rsidRDefault="003158C0" w:rsidP="00AE7594">
      <w:pPr>
        <w:widowControl w:val="0"/>
        <w:spacing w:after="120" w:line="276" w:lineRule="auto"/>
        <w:jc w:val="both"/>
        <w:rPr>
          <w:rFonts w:cstheme="minorHAnsi"/>
          <w:bCs/>
          <w:color w:val="000000" w:themeColor="text1"/>
          <w:sz w:val="24"/>
          <w:szCs w:val="24"/>
        </w:rPr>
      </w:pPr>
      <w:r w:rsidRPr="00B23AA6">
        <w:rPr>
          <w:rFonts w:eastAsia="Calibri" w:cstheme="minorHAnsi"/>
          <w:sz w:val="24"/>
          <w:szCs w:val="24"/>
        </w:rPr>
        <w:t>L’activité sera réalisée en Côte d’Ivoire et sur le lieu de travail de l’expert.</w:t>
      </w:r>
      <w:r w:rsidR="00AE7594">
        <w:rPr>
          <w:rFonts w:eastAsia="Calibri" w:cstheme="minorHAnsi"/>
          <w:sz w:val="24"/>
          <w:szCs w:val="24"/>
        </w:rPr>
        <w:t xml:space="preserve"> </w:t>
      </w:r>
      <w:r w:rsidR="00AE7594" w:rsidRPr="00AE7594">
        <w:rPr>
          <w:rFonts w:cstheme="minorHAnsi"/>
          <w:bCs/>
          <w:color w:val="000000" w:themeColor="text1"/>
          <w:sz w:val="24"/>
          <w:szCs w:val="24"/>
        </w:rPr>
        <w:t xml:space="preserve">Les séances de sensibilisation se tiendront selon le calendrier prévisionnel ci-dessous : </w:t>
      </w:r>
    </w:p>
    <w:tbl>
      <w:tblPr>
        <w:tblStyle w:val="Grilledutableau"/>
        <w:tblW w:w="9776" w:type="dxa"/>
        <w:tblLook w:val="04A0" w:firstRow="1" w:lastRow="0" w:firstColumn="1" w:lastColumn="0" w:noHBand="0" w:noVBand="1"/>
      </w:tblPr>
      <w:tblGrid>
        <w:gridCol w:w="5240"/>
        <w:gridCol w:w="4536"/>
      </w:tblGrid>
      <w:tr w:rsidR="00AE7594" w:rsidRPr="00AE7594" w14:paraId="3BEA5158" w14:textId="77777777" w:rsidTr="00724434">
        <w:tc>
          <w:tcPr>
            <w:tcW w:w="5240" w:type="dxa"/>
            <w:shd w:val="clear" w:color="auto" w:fill="D0CECE" w:themeFill="background2" w:themeFillShade="E6"/>
          </w:tcPr>
          <w:p w14:paraId="195FC0B4" w14:textId="77777777" w:rsidR="00AE7594" w:rsidRPr="00AE7594" w:rsidRDefault="00AE7594" w:rsidP="00724434">
            <w:pPr>
              <w:widowControl w:val="0"/>
              <w:spacing w:after="120" w:line="276" w:lineRule="auto"/>
              <w:rPr>
                <w:rFonts w:eastAsia="Calibri" w:cstheme="minorHAnsi"/>
                <w:b/>
                <w:bCs/>
                <w:sz w:val="24"/>
                <w:szCs w:val="24"/>
              </w:rPr>
            </w:pPr>
            <w:bookmarkStart w:id="1" w:name="_Hlk506916878"/>
            <w:r w:rsidRPr="00AE7594">
              <w:rPr>
                <w:rFonts w:eastAsia="Calibri" w:cstheme="minorHAnsi"/>
                <w:b/>
                <w:bCs/>
                <w:sz w:val="24"/>
                <w:szCs w:val="24"/>
              </w:rPr>
              <w:t>Villes / Axes</w:t>
            </w:r>
          </w:p>
        </w:tc>
        <w:tc>
          <w:tcPr>
            <w:tcW w:w="4536" w:type="dxa"/>
            <w:shd w:val="clear" w:color="auto" w:fill="D0CECE" w:themeFill="background2" w:themeFillShade="E6"/>
          </w:tcPr>
          <w:p w14:paraId="09707FFA" w14:textId="77777777" w:rsidR="00AE7594" w:rsidRPr="00AE7594" w:rsidRDefault="00AE7594" w:rsidP="00724434">
            <w:pPr>
              <w:widowControl w:val="0"/>
              <w:spacing w:after="120" w:line="276" w:lineRule="auto"/>
              <w:jc w:val="center"/>
              <w:rPr>
                <w:rFonts w:eastAsia="Calibri" w:cstheme="minorHAnsi"/>
                <w:b/>
                <w:bCs/>
                <w:sz w:val="24"/>
                <w:szCs w:val="24"/>
              </w:rPr>
            </w:pPr>
            <w:r w:rsidRPr="00AE7594">
              <w:rPr>
                <w:rFonts w:eastAsia="Calibri" w:cstheme="minorHAnsi"/>
                <w:b/>
                <w:bCs/>
                <w:sz w:val="24"/>
                <w:szCs w:val="24"/>
              </w:rPr>
              <w:t>Dates</w:t>
            </w:r>
          </w:p>
        </w:tc>
      </w:tr>
      <w:tr w:rsidR="00AE7594" w14:paraId="05E1090A" w14:textId="77777777" w:rsidTr="00724434">
        <w:tc>
          <w:tcPr>
            <w:tcW w:w="5240" w:type="dxa"/>
          </w:tcPr>
          <w:p w14:paraId="273F674D" w14:textId="77777777" w:rsidR="00AE7594" w:rsidRDefault="00AE7594" w:rsidP="00724434">
            <w:pPr>
              <w:widowControl w:val="0"/>
              <w:spacing w:after="120" w:line="276" w:lineRule="auto"/>
              <w:jc w:val="both"/>
              <w:rPr>
                <w:rFonts w:eastAsia="Calibri" w:cstheme="minorHAnsi"/>
                <w:sz w:val="24"/>
                <w:szCs w:val="24"/>
              </w:rPr>
            </w:pPr>
            <w:r>
              <w:rPr>
                <w:rFonts w:eastAsia="Calibri" w:cstheme="minorHAnsi"/>
                <w:sz w:val="24"/>
                <w:szCs w:val="24"/>
              </w:rPr>
              <w:t>Axe 1 : Yamoussoukro - Gagnoa</w:t>
            </w:r>
          </w:p>
        </w:tc>
        <w:tc>
          <w:tcPr>
            <w:tcW w:w="4536" w:type="dxa"/>
          </w:tcPr>
          <w:p w14:paraId="466AAFA4" w14:textId="77777777" w:rsidR="00AE7594" w:rsidRPr="00AE7594" w:rsidRDefault="00AE7594" w:rsidP="00724434">
            <w:pPr>
              <w:widowControl w:val="0"/>
              <w:spacing w:after="120" w:line="276" w:lineRule="auto"/>
              <w:jc w:val="both"/>
              <w:rPr>
                <w:rFonts w:eastAsia="Calibri" w:cstheme="minorHAnsi"/>
                <w:b/>
                <w:bCs/>
                <w:sz w:val="24"/>
                <w:szCs w:val="24"/>
              </w:rPr>
            </w:pPr>
            <w:r w:rsidRPr="00AE7594">
              <w:rPr>
                <w:rFonts w:ascii="Leelawadee UI" w:eastAsia="Calibri" w:hAnsi="Leelawadee UI" w:cs="Leelawadee UI"/>
                <w:b/>
                <w:bCs/>
                <w:kern w:val="2"/>
                <w14:ligatures w14:val="standardContextual"/>
              </w:rPr>
              <w:t>25 au 29 février 2024</w:t>
            </w:r>
          </w:p>
        </w:tc>
      </w:tr>
      <w:tr w:rsidR="00AE7594" w14:paraId="135EDD03" w14:textId="77777777" w:rsidTr="00724434">
        <w:tc>
          <w:tcPr>
            <w:tcW w:w="5240" w:type="dxa"/>
          </w:tcPr>
          <w:p w14:paraId="25246BAC" w14:textId="77777777" w:rsidR="00AE7594" w:rsidRDefault="00AE7594" w:rsidP="00724434">
            <w:pPr>
              <w:widowControl w:val="0"/>
              <w:spacing w:after="120" w:line="276" w:lineRule="auto"/>
              <w:jc w:val="both"/>
              <w:rPr>
                <w:rFonts w:eastAsia="Calibri" w:cstheme="minorHAnsi"/>
                <w:sz w:val="24"/>
                <w:szCs w:val="24"/>
              </w:rPr>
            </w:pPr>
            <w:r>
              <w:rPr>
                <w:rFonts w:eastAsia="Calibri" w:cstheme="minorHAnsi"/>
                <w:sz w:val="24"/>
                <w:szCs w:val="24"/>
              </w:rPr>
              <w:t>Axe 2 : Abengourou - Adzopé</w:t>
            </w:r>
          </w:p>
        </w:tc>
        <w:tc>
          <w:tcPr>
            <w:tcW w:w="4536" w:type="dxa"/>
          </w:tcPr>
          <w:p w14:paraId="01437151" w14:textId="77777777" w:rsidR="00AE7594" w:rsidRPr="00AE7594" w:rsidRDefault="00AE7594" w:rsidP="00724434">
            <w:pPr>
              <w:widowControl w:val="0"/>
              <w:spacing w:after="120" w:line="276" w:lineRule="auto"/>
              <w:jc w:val="both"/>
              <w:rPr>
                <w:rFonts w:eastAsia="Calibri" w:cstheme="minorHAnsi"/>
                <w:b/>
                <w:bCs/>
                <w:sz w:val="24"/>
                <w:szCs w:val="24"/>
              </w:rPr>
            </w:pPr>
            <w:r w:rsidRPr="00AE7594">
              <w:rPr>
                <w:rFonts w:eastAsia="Calibri" w:cstheme="minorHAnsi"/>
                <w:b/>
                <w:bCs/>
                <w:sz w:val="24"/>
                <w:szCs w:val="24"/>
              </w:rPr>
              <w:t>3 au 7 mars 2024</w:t>
            </w:r>
          </w:p>
        </w:tc>
      </w:tr>
      <w:tr w:rsidR="00AE7594" w14:paraId="56C590A4" w14:textId="77777777" w:rsidTr="00724434">
        <w:tc>
          <w:tcPr>
            <w:tcW w:w="5240" w:type="dxa"/>
          </w:tcPr>
          <w:p w14:paraId="3951727D" w14:textId="77777777" w:rsidR="00AE7594" w:rsidRDefault="00AE7594" w:rsidP="00724434">
            <w:pPr>
              <w:widowControl w:val="0"/>
              <w:spacing w:after="120" w:line="276" w:lineRule="auto"/>
              <w:jc w:val="both"/>
              <w:rPr>
                <w:rFonts w:eastAsia="Calibri" w:cstheme="minorHAnsi"/>
                <w:sz w:val="24"/>
                <w:szCs w:val="24"/>
              </w:rPr>
            </w:pPr>
            <w:r>
              <w:rPr>
                <w:rFonts w:eastAsia="Calibri" w:cstheme="minorHAnsi"/>
                <w:sz w:val="24"/>
                <w:szCs w:val="24"/>
              </w:rPr>
              <w:t>Axe 3 : Ferkessédougou - Katiola</w:t>
            </w:r>
          </w:p>
        </w:tc>
        <w:tc>
          <w:tcPr>
            <w:tcW w:w="4536" w:type="dxa"/>
          </w:tcPr>
          <w:p w14:paraId="04A205CF" w14:textId="77777777" w:rsidR="00AE7594" w:rsidRPr="00AE7594" w:rsidRDefault="00AE7594" w:rsidP="00724434">
            <w:pPr>
              <w:widowControl w:val="0"/>
              <w:spacing w:after="120" w:line="276" w:lineRule="auto"/>
              <w:jc w:val="both"/>
              <w:rPr>
                <w:rFonts w:eastAsia="Calibri" w:cstheme="minorHAnsi"/>
                <w:b/>
                <w:bCs/>
                <w:sz w:val="24"/>
                <w:szCs w:val="24"/>
              </w:rPr>
            </w:pPr>
            <w:r w:rsidRPr="00AE7594">
              <w:rPr>
                <w:rFonts w:eastAsia="Calibri" w:cstheme="minorHAnsi"/>
                <w:b/>
                <w:bCs/>
                <w:sz w:val="24"/>
                <w:szCs w:val="24"/>
              </w:rPr>
              <w:t>10 au 14 mars 2024</w:t>
            </w:r>
          </w:p>
        </w:tc>
      </w:tr>
    </w:tbl>
    <w:p w14:paraId="744AD77D" w14:textId="77777777" w:rsidR="00AE7594" w:rsidRPr="00AE7594" w:rsidRDefault="00AE7594" w:rsidP="00AE7594">
      <w:pPr>
        <w:widowControl w:val="0"/>
        <w:spacing w:after="120" w:line="276" w:lineRule="auto"/>
        <w:jc w:val="both"/>
        <w:rPr>
          <w:rFonts w:cstheme="minorHAnsi"/>
          <w:sz w:val="10"/>
          <w:szCs w:val="10"/>
        </w:rPr>
      </w:pPr>
    </w:p>
    <w:p w14:paraId="7639D689" w14:textId="77777777" w:rsidR="00AE7594" w:rsidRDefault="00AE7594" w:rsidP="00AE7594">
      <w:pPr>
        <w:widowControl w:val="0"/>
        <w:spacing w:after="120" w:line="276" w:lineRule="auto"/>
        <w:jc w:val="both"/>
        <w:rPr>
          <w:rFonts w:eastAsia="Calibri" w:cstheme="minorHAnsi"/>
          <w:sz w:val="24"/>
          <w:szCs w:val="24"/>
        </w:rPr>
      </w:pPr>
      <w:r w:rsidRPr="00D45B46">
        <w:rPr>
          <w:rFonts w:cstheme="minorHAnsi"/>
          <w:sz w:val="24"/>
          <w:szCs w:val="24"/>
        </w:rPr>
        <w:t>La cible sera de 50 personnes</w:t>
      </w:r>
      <w:r>
        <w:rPr>
          <w:rFonts w:cstheme="minorHAnsi"/>
          <w:sz w:val="24"/>
          <w:szCs w:val="24"/>
        </w:rPr>
        <w:t xml:space="preserve"> par </w:t>
      </w:r>
      <w:r w:rsidRPr="00D45B46">
        <w:rPr>
          <w:rFonts w:cstheme="minorHAnsi"/>
          <w:sz w:val="24"/>
          <w:szCs w:val="24"/>
          <w:highlight w:val="yellow"/>
        </w:rPr>
        <w:t>axe/ville</w:t>
      </w:r>
      <w:r w:rsidRPr="00D45B46">
        <w:rPr>
          <w:rFonts w:cstheme="minorHAnsi"/>
          <w:sz w:val="24"/>
          <w:szCs w:val="24"/>
        </w:rPr>
        <w:t xml:space="preserve"> et composée de l’Administration (</w:t>
      </w:r>
      <w:r w:rsidRPr="00D45B46">
        <w:rPr>
          <w:rFonts w:cstheme="minorHAnsi"/>
          <w:b/>
          <w:bCs/>
          <w:sz w:val="24"/>
          <w:szCs w:val="24"/>
        </w:rPr>
        <w:t>15</w:t>
      </w:r>
      <w:r w:rsidRPr="00D45B46">
        <w:rPr>
          <w:rFonts w:cstheme="minorHAnsi"/>
          <w:sz w:val="24"/>
          <w:szCs w:val="24"/>
        </w:rPr>
        <w:t>), de la Société Civile + Médias (</w:t>
      </w:r>
      <w:r w:rsidRPr="00D45B46">
        <w:rPr>
          <w:rFonts w:cstheme="minorHAnsi"/>
          <w:b/>
          <w:bCs/>
          <w:sz w:val="24"/>
          <w:szCs w:val="24"/>
        </w:rPr>
        <w:t>30</w:t>
      </w:r>
      <w:r w:rsidRPr="00D45B46">
        <w:rPr>
          <w:rFonts w:cstheme="minorHAnsi"/>
          <w:sz w:val="24"/>
          <w:szCs w:val="24"/>
        </w:rPr>
        <w:t>) et du Secteur Privé (</w:t>
      </w:r>
      <w:r w:rsidRPr="00D45B46">
        <w:rPr>
          <w:rFonts w:cstheme="minorHAnsi"/>
          <w:b/>
          <w:bCs/>
          <w:sz w:val="24"/>
          <w:szCs w:val="24"/>
        </w:rPr>
        <w:t>05</w:t>
      </w:r>
      <w:r w:rsidRPr="00D45B46">
        <w:rPr>
          <w:rFonts w:cstheme="minorHAnsi"/>
          <w:sz w:val="24"/>
          <w:szCs w:val="24"/>
        </w:rPr>
        <w:t>).</w:t>
      </w:r>
    </w:p>
    <w:bookmarkEnd w:id="1"/>
    <w:p w14:paraId="6CD6729C" w14:textId="77777777" w:rsidR="00AE7594" w:rsidRPr="00C028D3" w:rsidRDefault="00AE7594" w:rsidP="00B23AA6">
      <w:pPr>
        <w:widowControl w:val="0"/>
        <w:spacing w:after="120" w:line="276" w:lineRule="auto"/>
        <w:jc w:val="both"/>
        <w:rPr>
          <w:rFonts w:eastAsia="Calibri" w:cstheme="minorHAnsi"/>
          <w:sz w:val="10"/>
          <w:szCs w:val="10"/>
        </w:rPr>
      </w:pPr>
    </w:p>
    <w:p w14:paraId="224B4722" w14:textId="7550E004" w:rsidR="003158C0" w:rsidRPr="00AE7594" w:rsidRDefault="003158C0" w:rsidP="00B23AA6">
      <w:pPr>
        <w:spacing w:line="276" w:lineRule="auto"/>
        <w:rPr>
          <w:rFonts w:cstheme="minorHAnsi"/>
          <w:b/>
          <w:color w:val="0070C0"/>
          <w:sz w:val="24"/>
          <w:szCs w:val="24"/>
        </w:rPr>
      </w:pPr>
      <w:r w:rsidRPr="00AE7594">
        <w:rPr>
          <w:rFonts w:cstheme="minorHAnsi"/>
          <w:b/>
          <w:color w:val="0070C0"/>
          <w:sz w:val="24"/>
          <w:szCs w:val="24"/>
        </w:rPr>
        <w:t xml:space="preserve">Profil requis </w:t>
      </w:r>
      <w:r w:rsidR="00AE7594" w:rsidRPr="00AE7594">
        <w:rPr>
          <w:rFonts w:cstheme="minorHAnsi"/>
          <w:b/>
          <w:color w:val="0070C0"/>
          <w:sz w:val="24"/>
          <w:szCs w:val="24"/>
        </w:rPr>
        <w:t xml:space="preserve">des </w:t>
      </w:r>
      <w:r w:rsidR="00C028D3" w:rsidRPr="00AE7594">
        <w:rPr>
          <w:rFonts w:cstheme="minorHAnsi"/>
          <w:b/>
          <w:color w:val="0070C0"/>
          <w:sz w:val="24"/>
          <w:szCs w:val="24"/>
        </w:rPr>
        <w:t xml:space="preserve">facilitateurs. </w:t>
      </w:r>
      <w:proofErr w:type="spellStart"/>
      <w:r w:rsidR="00C028D3" w:rsidRPr="00AE7594">
        <w:rPr>
          <w:rFonts w:cstheme="minorHAnsi"/>
          <w:b/>
          <w:color w:val="0070C0"/>
          <w:sz w:val="24"/>
          <w:szCs w:val="24"/>
        </w:rPr>
        <w:t>rices</w:t>
      </w:r>
      <w:proofErr w:type="spellEnd"/>
    </w:p>
    <w:p w14:paraId="3CF4B480" w14:textId="77777777" w:rsidR="003158C0" w:rsidRPr="00B23AA6" w:rsidRDefault="003158C0" w:rsidP="00B23AA6">
      <w:pPr>
        <w:widowControl w:val="0"/>
        <w:spacing w:before="240" w:after="120" w:line="276" w:lineRule="auto"/>
        <w:jc w:val="both"/>
        <w:rPr>
          <w:rFonts w:eastAsia="Calibri" w:cstheme="minorHAnsi"/>
          <w:sz w:val="24"/>
          <w:szCs w:val="24"/>
        </w:rPr>
      </w:pPr>
      <w:bookmarkStart w:id="2" w:name="_Hlk506916910"/>
      <w:r w:rsidRPr="00B23AA6">
        <w:rPr>
          <w:rFonts w:eastAsia="Calibri" w:cstheme="minorHAnsi"/>
          <w:sz w:val="24"/>
          <w:szCs w:val="24"/>
        </w:rPr>
        <w:t>Qualifications et compétences</w:t>
      </w:r>
    </w:p>
    <w:p w14:paraId="12BD617A" w14:textId="77777777" w:rsidR="003158C0" w:rsidRPr="00B23AA6" w:rsidRDefault="003158C0" w:rsidP="00B23AA6">
      <w:pPr>
        <w:pStyle w:val="Paragraphedeliste"/>
        <w:widowControl w:val="0"/>
        <w:numPr>
          <w:ilvl w:val="0"/>
          <w:numId w:val="11"/>
        </w:numPr>
        <w:spacing w:before="120" w:after="120" w:line="276" w:lineRule="auto"/>
        <w:jc w:val="both"/>
        <w:rPr>
          <w:rFonts w:eastAsia="Calibri" w:cstheme="minorHAnsi"/>
          <w:sz w:val="24"/>
          <w:szCs w:val="24"/>
        </w:rPr>
      </w:pPr>
      <w:r w:rsidRPr="00B23AA6">
        <w:rPr>
          <w:rFonts w:eastAsia="Calibri" w:cstheme="minorHAnsi"/>
          <w:sz w:val="24"/>
          <w:szCs w:val="24"/>
        </w:rPr>
        <w:t>Connaissance des principes de gouvernement ouvert, transparence des gouvernements, lutte contre la corruption, e-</w:t>
      </w:r>
      <w:proofErr w:type="spellStart"/>
      <w:r w:rsidRPr="00B23AA6">
        <w:rPr>
          <w:rFonts w:eastAsia="Calibri" w:cstheme="minorHAnsi"/>
          <w:sz w:val="24"/>
          <w:szCs w:val="24"/>
        </w:rPr>
        <w:t>gov</w:t>
      </w:r>
      <w:proofErr w:type="spellEnd"/>
      <w:r w:rsidRPr="00B23AA6">
        <w:rPr>
          <w:rFonts w:eastAsia="Calibri" w:cstheme="minorHAnsi"/>
          <w:sz w:val="24"/>
          <w:szCs w:val="24"/>
        </w:rPr>
        <w:t>, administration électronique au sein de l’administration centrale et locale ; </w:t>
      </w:r>
    </w:p>
    <w:p w14:paraId="06514A09" w14:textId="77777777" w:rsidR="003158C0" w:rsidRPr="00B23AA6" w:rsidRDefault="003158C0" w:rsidP="00B23AA6">
      <w:pPr>
        <w:pStyle w:val="Paragraphedeliste"/>
        <w:widowControl w:val="0"/>
        <w:numPr>
          <w:ilvl w:val="0"/>
          <w:numId w:val="11"/>
        </w:numPr>
        <w:spacing w:before="120" w:after="120" w:line="276" w:lineRule="auto"/>
        <w:jc w:val="both"/>
        <w:rPr>
          <w:rFonts w:eastAsia="Calibri" w:cstheme="minorHAnsi"/>
          <w:sz w:val="24"/>
          <w:szCs w:val="24"/>
        </w:rPr>
      </w:pPr>
      <w:r w:rsidRPr="00B23AA6">
        <w:rPr>
          <w:rFonts w:eastAsia="Calibri" w:cstheme="minorHAnsi"/>
          <w:sz w:val="24"/>
          <w:szCs w:val="24"/>
        </w:rPr>
        <w:t>Connaissance de l’administration décentralisée et des finances publiques locales ;</w:t>
      </w:r>
    </w:p>
    <w:p w14:paraId="7791DE08" w14:textId="77777777" w:rsidR="003158C0" w:rsidRPr="00B23AA6" w:rsidRDefault="003158C0" w:rsidP="00B23AA6">
      <w:pPr>
        <w:pStyle w:val="Paragraphedeliste"/>
        <w:widowControl w:val="0"/>
        <w:numPr>
          <w:ilvl w:val="0"/>
          <w:numId w:val="11"/>
        </w:numPr>
        <w:spacing w:before="120" w:after="120" w:line="276" w:lineRule="auto"/>
        <w:jc w:val="both"/>
        <w:rPr>
          <w:rFonts w:eastAsia="Calibri" w:cstheme="minorHAnsi"/>
          <w:sz w:val="24"/>
          <w:szCs w:val="24"/>
        </w:rPr>
      </w:pPr>
      <w:r w:rsidRPr="00B23AA6">
        <w:rPr>
          <w:rFonts w:eastAsia="Calibri" w:cstheme="minorHAnsi"/>
          <w:sz w:val="24"/>
          <w:szCs w:val="24"/>
        </w:rPr>
        <w:t>Connaissance du dialogue avec les Organisations de la Société Civile ;</w:t>
      </w:r>
    </w:p>
    <w:p w14:paraId="31FFE3E6" w14:textId="77777777" w:rsidR="003158C0" w:rsidRPr="00B23AA6" w:rsidRDefault="003158C0" w:rsidP="00B23AA6">
      <w:pPr>
        <w:pStyle w:val="Paragraphedeliste"/>
        <w:widowControl w:val="0"/>
        <w:numPr>
          <w:ilvl w:val="0"/>
          <w:numId w:val="11"/>
        </w:numPr>
        <w:spacing w:before="120" w:after="120" w:line="276" w:lineRule="auto"/>
        <w:jc w:val="both"/>
        <w:rPr>
          <w:rFonts w:eastAsia="Calibri" w:cstheme="minorHAnsi"/>
          <w:sz w:val="24"/>
          <w:szCs w:val="24"/>
        </w:rPr>
      </w:pPr>
      <w:r w:rsidRPr="00B23AA6">
        <w:rPr>
          <w:rFonts w:eastAsia="Calibri" w:cstheme="minorHAnsi"/>
          <w:sz w:val="24"/>
          <w:szCs w:val="24"/>
        </w:rPr>
        <w:t>Excellentes compétences rédactionnelles.</w:t>
      </w:r>
    </w:p>
    <w:p w14:paraId="40D6C64C" w14:textId="77777777" w:rsidR="003158C0" w:rsidRPr="00B23AA6" w:rsidRDefault="003158C0" w:rsidP="00B23AA6">
      <w:pPr>
        <w:widowControl w:val="0"/>
        <w:spacing w:before="240" w:after="120" w:line="276" w:lineRule="auto"/>
        <w:jc w:val="both"/>
        <w:rPr>
          <w:rFonts w:eastAsia="Calibri" w:cstheme="minorHAnsi"/>
          <w:sz w:val="24"/>
          <w:szCs w:val="24"/>
        </w:rPr>
      </w:pPr>
      <w:r w:rsidRPr="00B23AA6">
        <w:rPr>
          <w:rFonts w:eastAsia="Calibri" w:cstheme="minorHAnsi"/>
          <w:sz w:val="24"/>
          <w:szCs w:val="24"/>
        </w:rPr>
        <w:t>Expérience professionnelle générale et spécifiques</w:t>
      </w:r>
    </w:p>
    <w:p w14:paraId="0A821FFD" w14:textId="77777777" w:rsidR="003158C0" w:rsidRPr="00B23AA6" w:rsidRDefault="003158C0" w:rsidP="00B23AA6">
      <w:pPr>
        <w:pStyle w:val="Paragraphedeliste"/>
        <w:widowControl w:val="0"/>
        <w:numPr>
          <w:ilvl w:val="0"/>
          <w:numId w:val="12"/>
        </w:numPr>
        <w:spacing w:before="120" w:after="120" w:line="276" w:lineRule="auto"/>
        <w:jc w:val="both"/>
        <w:rPr>
          <w:rFonts w:eastAsia="Calibri" w:cstheme="minorHAnsi"/>
          <w:sz w:val="24"/>
          <w:szCs w:val="24"/>
        </w:rPr>
      </w:pPr>
      <w:r w:rsidRPr="00B23AA6">
        <w:rPr>
          <w:rFonts w:eastAsia="Calibri" w:cstheme="minorHAnsi"/>
          <w:sz w:val="24"/>
          <w:szCs w:val="24"/>
        </w:rPr>
        <w:t>Expérience dans la mise en œuvre de projet/activités sur les principes de gouvernement ouvert, transparence des gouvernements, e-</w:t>
      </w:r>
      <w:proofErr w:type="spellStart"/>
      <w:r w:rsidRPr="00B23AA6">
        <w:rPr>
          <w:rFonts w:eastAsia="Calibri" w:cstheme="minorHAnsi"/>
          <w:sz w:val="24"/>
          <w:szCs w:val="24"/>
        </w:rPr>
        <w:t>gov</w:t>
      </w:r>
      <w:proofErr w:type="spellEnd"/>
      <w:r w:rsidRPr="00B23AA6">
        <w:rPr>
          <w:rFonts w:eastAsia="Calibri" w:cstheme="minorHAnsi"/>
          <w:sz w:val="24"/>
          <w:szCs w:val="24"/>
        </w:rPr>
        <w:t>, administration électronique au sein de l’administration centrale et locale ;</w:t>
      </w:r>
    </w:p>
    <w:p w14:paraId="3D11E03D" w14:textId="77777777" w:rsidR="00E64F23" w:rsidRPr="00B23AA6" w:rsidRDefault="00E64F23" w:rsidP="00B23AA6">
      <w:pPr>
        <w:pStyle w:val="Paragraphedeliste"/>
        <w:widowControl w:val="0"/>
        <w:numPr>
          <w:ilvl w:val="0"/>
          <w:numId w:val="12"/>
        </w:numPr>
        <w:spacing w:before="120" w:after="120" w:line="276" w:lineRule="auto"/>
        <w:jc w:val="both"/>
        <w:rPr>
          <w:rFonts w:eastAsia="Calibri" w:cstheme="minorHAnsi"/>
          <w:sz w:val="24"/>
          <w:szCs w:val="24"/>
        </w:rPr>
      </w:pPr>
      <w:r w:rsidRPr="00B23AA6">
        <w:rPr>
          <w:rFonts w:eastAsia="Calibri" w:cstheme="minorHAnsi"/>
          <w:sz w:val="24"/>
          <w:szCs w:val="24"/>
        </w:rPr>
        <w:t>Expérience en formation des f</w:t>
      </w:r>
      <w:r w:rsidR="00D33832" w:rsidRPr="00B23AA6">
        <w:rPr>
          <w:rFonts w:eastAsia="Calibri" w:cstheme="minorHAnsi"/>
          <w:sz w:val="24"/>
          <w:szCs w:val="24"/>
        </w:rPr>
        <w:t>ormateurs avec une bonne maitrise de l’andragogie, la gamification etc…</w:t>
      </w:r>
    </w:p>
    <w:p w14:paraId="71D447E5" w14:textId="77777777" w:rsidR="003158C0" w:rsidRPr="00B23AA6" w:rsidRDefault="003158C0" w:rsidP="00B23AA6">
      <w:pPr>
        <w:pStyle w:val="Paragraphedeliste"/>
        <w:widowControl w:val="0"/>
        <w:numPr>
          <w:ilvl w:val="0"/>
          <w:numId w:val="12"/>
        </w:numPr>
        <w:spacing w:before="120" w:after="120" w:line="276" w:lineRule="auto"/>
        <w:jc w:val="both"/>
        <w:rPr>
          <w:rFonts w:eastAsia="Calibri" w:cstheme="minorHAnsi"/>
          <w:sz w:val="24"/>
          <w:szCs w:val="24"/>
        </w:rPr>
      </w:pPr>
      <w:r w:rsidRPr="00B23AA6">
        <w:rPr>
          <w:rFonts w:eastAsia="Calibri" w:cstheme="minorHAnsi"/>
          <w:sz w:val="24"/>
          <w:szCs w:val="24"/>
        </w:rPr>
        <w:t>La connaissance de l’administration et services publics en Côte d’Ivoire sera un avantage ;</w:t>
      </w:r>
    </w:p>
    <w:p w14:paraId="77D6FDD2" w14:textId="77777777" w:rsidR="003158C0" w:rsidRPr="00B23AA6" w:rsidRDefault="003158C0" w:rsidP="00B23AA6">
      <w:pPr>
        <w:pStyle w:val="Paragraphedeliste"/>
        <w:widowControl w:val="0"/>
        <w:numPr>
          <w:ilvl w:val="0"/>
          <w:numId w:val="12"/>
        </w:numPr>
        <w:spacing w:before="120" w:after="120" w:line="276" w:lineRule="auto"/>
        <w:jc w:val="both"/>
        <w:rPr>
          <w:rFonts w:eastAsia="Calibri" w:cstheme="minorHAnsi"/>
          <w:sz w:val="24"/>
          <w:szCs w:val="24"/>
        </w:rPr>
      </w:pPr>
      <w:r w:rsidRPr="00B23AA6">
        <w:rPr>
          <w:rFonts w:eastAsia="Calibri" w:cstheme="minorHAnsi"/>
          <w:sz w:val="24"/>
          <w:szCs w:val="24"/>
        </w:rPr>
        <w:t>Capacité à travailler en milieu interculturel, capacité de mise en perspective des relations autorités/OSC et de faciliter leurs échanges.</w:t>
      </w:r>
      <w:bookmarkEnd w:id="2"/>
    </w:p>
    <w:p w14:paraId="0DD45535" w14:textId="77777777" w:rsidR="003158C0" w:rsidRPr="00B23AA6" w:rsidRDefault="003158C0" w:rsidP="00B23AA6">
      <w:pPr>
        <w:spacing w:line="276" w:lineRule="auto"/>
        <w:rPr>
          <w:rFonts w:cstheme="minorHAnsi"/>
          <w:b/>
          <w:color w:val="0070C0"/>
          <w:sz w:val="24"/>
          <w:szCs w:val="24"/>
        </w:rPr>
      </w:pPr>
      <w:r w:rsidRPr="00B23AA6">
        <w:rPr>
          <w:rFonts w:cstheme="minorHAnsi"/>
          <w:b/>
          <w:color w:val="0070C0"/>
          <w:sz w:val="24"/>
          <w:szCs w:val="24"/>
        </w:rPr>
        <w:t xml:space="preserve">Langue(s) de travail </w:t>
      </w:r>
    </w:p>
    <w:p w14:paraId="1BBA9BB3" w14:textId="0A68D714" w:rsidR="003E7BA9" w:rsidRPr="00AE7594" w:rsidRDefault="003158C0" w:rsidP="00AE7594">
      <w:pPr>
        <w:widowControl w:val="0"/>
        <w:spacing w:after="120" w:line="276" w:lineRule="auto"/>
        <w:jc w:val="both"/>
        <w:rPr>
          <w:rFonts w:eastAsia="Calibri" w:cstheme="minorHAnsi"/>
          <w:sz w:val="24"/>
          <w:szCs w:val="24"/>
        </w:rPr>
      </w:pPr>
      <w:r w:rsidRPr="00B23AA6">
        <w:rPr>
          <w:rFonts w:eastAsia="Calibri" w:cstheme="minorHAnsi"/>
          <w:sz w:val="24"/>
          <w:szCs w:val="24"/>
        </w:rPr>
        <w:t>Françai</w:t>
      </w:r>
      <w:r w:rsidR="00AE7594">
        <w:rPr>
          <w:rFonts w:eastAsia="Calibri" w:cstheme="minorHAnsi"/>
          <w:sz w:val="24"/>
          <w:szCs w:val="24"/>
        </w:rPr>
        <w:t>s</w:t>
      </w:r>
    </w:p>
    <w:sectPr w:rsidR="003E7BA9" w:rsidRPr="00AE7594" w:rsidSect="00534C90">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48C9" w14:textId="77777777" w:rsidR="009B0E4B" w:rsidRDefault="009B0E4B" w:rsidP="007A08E8">
      <w:pPr>
        <w:spacing w:after="0" w:line="240" w:lineRule="auto"/>
      </w:pPr>
      <w:r>
        <w:separator/>
      </w:r>
    </w:p>
  </w:endnote>
  <w:endnote w:type="continuationSeparator" w:id="0">
    <w:p w14:paraId="1F8A790F" w14:textId="77777777" w:rsidR="009B0E4B" w:rsidRDefault="009B0E4B" w:rsidP="007A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42945"/>
      <w:docPartObj>
        <w:docPartGallery w:val="Page Numbers (Bottom of Page)"/>
        <w:docPartUnique/>
      </w:docPartObj>
    </w:sdtPr>
    <w:sdtContent>
      <w:p w14:paraId="38E9B822" w14:textId="77777777" w:rsidR="00481940" w:rsidRDefault="00481940">
        <w:pPr>
          <w:pStyle w:val="Pieddepage"/>
          <w:jc w:val="right"/>
        </w:pPr>
        <w:r>
          <w:fldChar w:fldCharType="begin"/>
        </w:r>
        <w:r>
          <w:instrText>PAGE   \* MERGEFORMAT</w:instrText>
        </w:r>
        <w:r>
          <w:fldChar w:fldCharType="separate"/>
        </w:r>
        <w:r w:rsidR="007B18C0">
          <w:rPr>
            <w:noProof/>
          </w:rPr>
          <w:t>1</w:t>
        </w:r>
        <w:r>
          <w:fldChar w:fldCharType="end"/>
        </w:r>
      </w:p>
    </w:sdtContent>
  </w:sdt>
  <w:p w14:paraId="7949B55B" w14:textId="77777777" w:rsidR="00481940" w:rsidRDefault="00481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A658" w14:textId="77777777" w:rsidR="009B0E4B" w:rsidRDefault="009B0E4B" w:rsidP="007A08E8">
      <w:pPr>
        <w:spacing w:after="0" w:line="240" w:lineRule="auto"/>
      </w:pPr>
      <w:r>
        <w:separator/>
      </w:r>
    </w:p>
  </w:footnote>
  <w:footnote w:type="continuationSeparator" w:id="0">
    <w:p w14:paraId="2D9E7737" w14:textId="77777777" w:rsidR="009B0E4B" w:rsidRDefault="009B0E4B" w:rsidP="007A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5860" w14:textId="77777777" w:rsidR="007A08E8" w:rsidRDefault="00BE67FC" w:rsidP="00BE67FC">
    <w:pPr>
      <w:pStyle w:val="En-tte"/>
      <w:tabs>
        <w:tab w:val="clear" w:pos="9072"/>
      </w:tabs>
    </w:pPr>
    <w:r w:rsidRPr="009D1E8E">
      <w:rPr>
        <w:rFonts w:ascii="Calibri" w:eastAsia="Calibri" w:hAnsi="Calibri" w:cs="Times New Roman"/>
        <w:noProof/>
        <w:lang w:eastAsia="fr-FR"/>
      </w:rPr>
      <w:drawing>
        <wp:anchor distT="0" distB="0" distL="114300" distR="114300" simplePos="0" relativeHeight="251659264" behindDoc="0" locked="0" layoutInCell="1" allowOverlap="1" wp14:anchorId="38185E30" wp14:editId="19E23720">
          <wp:simplePos x="0" y="0"/>
          <wp:positionH relativeFrom="margin">
            <wp:align>right</wp:align>
          </wp:positionH>
          <wp:positionV relativeFrom="paragraph">
            <wp:posOffset>-78105</wp:posOffset>
          </wp:positionV>
          <wp:extent cx="704850" cy="603250"/>
          <wp:effectExtent l="0" t="0" r="0" b="6350"/>
          <wp:wrapSquare wrapText="bothSides"/>
          <wp:docPr id="471581241" name="Image 47158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03250"/>
                  </a:xfrm>
                  <a:prstGeom prst="rect">
                    <a:avLst/>
                  </a:prstGeom>
                  <a:noFill/>
                </pic:spPr>
              </pic:pic>
            </a:graphicData>
          </a:graphic>
          <wp14:sizeRelH relativeFrom="margin">
            <wp14:pctWidth>0</wp14:pctWidth>
          </wp14:sizeRelH>
          <wp14:sizeRelV relativeFrom="margin">
            <wp14:pctHeight>0</wp14:pctHeight>
          </wp14:sizeRelV>
        </wp:anchor>
      </w:drawing>
    </w:r>
    <w:r w:rsidR="007A08E8">
      <w:rPr>
        <w:noProof/>
        <w:lang w:eastAsia="fr-FR"/>
      </w:rPr>
      <w:drawing>
        <wp:inline distT="0" distB="0" distL="0" distR="0" wp14:anchorId="16697861" wp14:editId="673BEC17">
          <wp:extent cx="981075" cy="501501"/>
          <wp:effectExtent l="0" t="0" r="0" b="0"/>
          <wp:docPr id="1698437927" name="Image 169843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323" cy="522075"/>
                  </a:xfrm>
                  <a:prstGeom prst="rect">
                    <a:avLst/>
                  </a:prstGeom>
                  <a:noFill/>
                </pic:spPr>
              </pic:pic>
            </a:graphicData>
          </a:graphic>
        </wp:inline>
      </w:drawing>
    </w:r>
    <w:r>
      <w:tab/>
    </w:r>
  </w:p>
  <w:p w14:paraId="53C15262" w14:textId="77777777" w:rsidR="007A08E8" w:rsidRDefault="007A08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11"/>
    <w:multiLevelType w:val="hybridMultilevel"/>
    <w:tmpl w:val="22B865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5B3735"/>
    <w:multiLevelType w:val="hybridMultilevel"/>
    <w:tmpl w:val="DF08F4A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293BC0"/>
    <w:multiLevelType w:val="hybridMultilevel"/>
    <w:tmpl w:val="F9248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3083F"/>
    <w:multiLevelType w:val="hybridMultilevel"/>
    <w:tmpl w:val="388A5DE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62F05DB"/>
    <w:multiLevelType w:val="hybridMultilevel"/>
    <w:tmpl w:val="986CD9C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31D454F0"/>
    <w:multiLevelType w:val="hybridMultilevel"/>
    <w:tmpl w:val="93409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A60EE6"/>
    <w:multiLevelType w:val="hybridMultilevel"/>
    <w:tmpl w:val="A3C44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F52ED"/>
    <w:multiLevelType w:val="hybridMultilevel"/>
    <w:tmpl w:val="2D06BB8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3482B95"/>
    <w:multiLevelType w:val="hybridMultilevel"/>
    <w:tmpl w:val="719E16E6"/>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0" w15:restartNumberingAfterBreak="0">
    <w:nsid w:val="57482D00"/>
    <w:multiLevelType w:val="hybridMultilevel"/>
    <w:tmpl w:val="424CAE38"/>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1" w15:restartNumberingAfterBreak="0">
    <w:nsid w:val="5FAC2260"/>
    <w:multiLevelType w:val="hybridMultilevel"/>
    <w:tmpl w:val="F88CB2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C1093C"/>
    <w:multiLevelType w:val="hybridMultilevel"/>
    <w:tmpl w:val="5114F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8457400">
    <w:abstractNumId w:val="8"/>
  </w:num>
  <w:num w:numId="2" w16cid:durableId="1554657253">
    <w:abstractNumId w:val="11"/>
  </w:num>
  <w:num w:numId="3" w16cid:durableId="540048667">
    <w:abstractNumId w:val="6"/>
  </w:num>
  <w:num w:numId="4" w16cid:durableId="1240335767">
    <w:abstractNumId w:val="13"/>
  </w:num>
  <w:num w:numId="5" w16cid:durableId="2039818874">
    <w:abstractNumId w:val="4"/>
  </w:num>
  <w:num w:numId="6" w16cid:durableId="2122648773">
    <w:abstractNumId w:val="2"/>
  </w:num>
  <w:num w:numId="7" w16cid:durableId="856967444">
    <w:abstractNumId w:val="12"/>
  </w:num>
  <w:num w:numId="8" w16cid:durableId="667025416">
    <w:abstractNumId w:val="7"/>
  </w:num>
  <w:num w:numId="9" w16cid:durableId="135680535">
    <w:abstractNumId w:val="3"/>
  </w:num>
  <w:num w:numId="10" w16cid:durableId="1845901037">
    <w:abstractNumId w:val="0"/>
  </w:num>
  <w:num w:numId="11" w16cid:durableId="1223053832">
    <w:abstractNumId w:val="10"/>
  </w:num>
  <w:num w:numId="12" w16cid:durableId="685599437">
    <w:abstractNumId w:val="9"/>
  </w:num>
  <w:num w:numId="13" w16cid:durableId="1964186039">
    <w:abstractNumId w:val="5"/>
  </w:num>
  <w:num w:numId="14" w16cid:durableId="31503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50"/>
    <w:rsid w:val="00005506"/>
    <w:rsid w:val="00123C5F"/>
    <w:rsid w:val="001D0E34"/>
    <w:rsid w:val="00247F69"/>
    <w:rsid w:val="00254865"/>
    <w:rsid w:val="002603A8"/>
    <w:rsid w:val="00286813"/>
    <w:rsid w:val="002B5F2B"/>
    <w:rsid w:val="002C4762"/>
    <w:rsid w:val="003158C0"/>
    <w:rsid w:val="0034538E"/>
    <w:rsid w:val="00352501"/>
    <w:rsid w:val="00390036"/>
    <w:rsid w:val="00392ECF"/>
    <w:rsid w:val="003E7BA9"/>
    <w:rsid w:val="00437751"/>
    <w:rsid w:val="004462C2"/>
    <w:rsid w:val="00481940"/>
    <w:rsid w:val="004E38D9"/>
    <w:rsid w:val="00516B4A"/>
    <w:rsid w:val="00534C90"/>
    <w:rsid w:val="005B37ED"/>
    <w:rsid w:val="005E3585"/>
    <w:rsid w:val="00607D2B"/>
    <w:rsid w:val="00612684"/>
    <w:rsid w:val="00660DDD"/>
    <w:rsid w:val="006843A3"/>
    <w:rsid w:val="007A08E8"/>
    <w:rsid w:val="007B18C0"/>
    <w:rsid w:val="007D24D8"/>
    <w:rsid w:val="00965C5D"/>
    <w:rsid w:val="009832B4"/>
    <w:rsid w:val="0098356F"/>
    <w:rsid w:val="009B0E4B"/>
    <w:rsid w:val="00A11E0F"/>
    <w:rsid w:val="00A44A47"/>
    <w:rsid w:val="00AE7594"/>
    <w:rsid w:val="00B23AA6"/>
    <w:rsid w:val="00B654CD"/>
    <w:rsid w:val="00B8322D"/>
    <w:rsid w:val="00BA7A91"/>
    <w:rsid w:val="00BD12E0"/>
    <w:rsid w:val="00BE67FC"/>
    <w:rsid w:val="00C028D3"/>
    <w:rsid w:val="00C61444"/>
    <w:rsid w:val="00C86EA5"/>
    <w:rsid w:val="00D33832"/>
    <w:rsid w:val="00D45B46"/>
    <w:rsid w:val="00DC24AF"/>
    <w:rsid w:val="00E64F23"/>
    <w:rsid w:val="00E704D6"/>
    <w:rsid w:val="00E83E50"/>
    <w:rsid w:val="00EF26FC"/>
    <w:rsid w:val="00F56D99"/>
    <w:rsid w:val="00F8663F"/>
    <w:rsid w:val="00FB73C7"/>
    <w:rsid w:val="00FE7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B972"/>
  <w15:chartTrackingRefBased/>
  <w15:docId w15:val="{0A0BEB78-A2CE-44F7-A6BD-92486F62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08E8"/>
    <w:pPr>
      <w:tabs>
        <w:tab w:val="center" w:pos="4536"/>
        <w:tab w:val="right" w:pos="9072"/>
      </w:tabs>
      <w:spacing w:after="0" w:line="240" w:lineRule="auto"/>
    </w:pPr>
  </w:style>
  <w:style w:type="character" w:customStyle="1" w:styleId="En-tteCar">
    <w:name w:val="En-tête Car"/>
    <w:basedOn w:val="Policepardfaut"/>
    <w:link w:val="En-tte"/>
    <w:uiPriority w:val="99"/>
    <w:rsid w:val="007A08E8"/>
  </w:style>
  <w:style w:type="paragraph" w:styleId="Pieddepage">
    <w:name w:val="footer"/>
    <w:basedOn w:val="Normal"/>
    <w:link w:val="PieddepageCar"/>
    <w:uiPriority w:val="99"/>
    <w:unhideWhenUsed/>
    <w:rsid w:val="007A08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8E8"/>
  </w:style>
  <w:style w:type="table" w:customStyle="1" w:styleId="GridTable5Dark-Accent11">
    <w:name w:val="Grid Table 5 Dark - Accent 11"/>
    <w:basedOn w:val="TableauNormal"/>
    <w:uiPriority w:val="50"/>
    <w:rsid w:val="004E38D9"/>
    <w:pPr>
      <w:spacing w:after="0" w:line="240" w:lineRule="auto"/>
    </w:pPr>
    <w:rPr>
      <w:lang w:val="el-G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
    <w:name w:val="Hyperlink"/>
    <w:basedOn w:val="Policepardfaut"/>
    <w:uiPriority w:val="99"/>
    <w:unhideWhenUsed/>
    <w:rsid w:val="004E38D9"/>
    <w:rPr>
      <w:color w:val="0563C1" w:themeColor="hyperlink"/>
      <w:u w:val="single"/>
    </w:rPr>
  </w:style>
  <w:style w:type="paragraph" w:styleId="Paragraphedeliste">
    <w:name w:val="List Paragraph"/>
    <w:basedOn w:val="Normal"/>
    <w:uiPriority w:val="34"/>
    <w:qFormat/>
    <w:rsid w:val="00286813"/>
    <w:pPr>
      <w:ind w:left="720"/>
      <w:contextualSpacing/>
    </w:pPr>
  </w:style>
  <w:style w:type="table" w:styleId="Grilledutableau">
    <w:name w:val="Table Grid"/>
    <w:basedOn w:val="TableauNormal"/>
    <w:uiPriority w:val="39"/>
    <w:rsid w:val="00AE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7491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NKOA</dc:creator>
  <cp:keywords/>
  <dc:description/>
  <cp:lastModifiedBy>Edmon M'bia</cp:lastModifiedBy>
  <cp:revision>2</cp:revision>
  <dcterms:created xsi:type="dcterms:W3CDTF">2025-11-17T12:02:00Z</dcterms:created>
  <dcterms:modified xsi:type="dcterms:W3CDTF">2025-11-17T12:02:00Z</dcterms:modified>
</cp:coreProperties>
</file>