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C03" w:rsidRDefault="0075606E">
      <w:pPr>
        <w:keepNext/>
        <w:keepLines/>
        <w:numPr>
          <w:ilvl w:val="0"/>
          <w:numId w:val="1"/>
        </w:numPr>
        <w:pBdr>
          <w:top w:val="nil"/>
          <w:left w:val="nil"/>
          <w:bottom w:val="nil"/>
          <w:right w:val="nil"/>
          <w:between w:val="nil"/>
        </w:pBdr>
        <w:tabs>
          <w:tab w:val="left" w:pos="0"/>
        </w:tabs>
        <w:spacing w:before="360" w:after="80"/>
        <w:jc w:val="center"/>
        <w:rPr>
          <w:rFonts w:ascii="Play" w:eastAsia="Play" w:hAnsi="Play" w:cs="Play"/>
          <w:color w:val="0F4761"/>
          <w:sz w:val="40"/>
          <w:szCs w:val="40"/>
        </w:rPr>
      </w:pPr>
      <w:bookmarkStart w:id="0" w:name="_GoBack"/>
      <w:bookmarkEnd w:id="0"/>
      <w:r>
        <w:rPr>
          <w:rFonts w:ascii="Play" w:eastAsia="Play" w:hAnsi="Play" w:cs="Play"/>
          <w:noProof/>
          <w:color w:val="0F4761"/>
          <w:sz w:val="40"/>
          <w:szCs w:val="40"/>
          <w:lang w:val="fr-FR"/>
        </w:rPr>
        <w:drawing>
          <wp:inline distT="114300" distB="114300" distL="114300" distR="114300">
            <wp:extent cx="4972050" cy="217201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972050" cy="2172018"/>
                    </a:xfrm>
                    <a:prstGeom prst="rect">
                      <a:avLst/>
                    </a:prstGeom>
                    <a:ln/>
                  </pic:spPr>
                </pic:pic>
              </a:graphicData>
            </a:graphic>
          </wp:inline>
        </w:drawing>
      </w:r>
    </w:p>
    <w:p w:rsidR="00B75C03" w:rsidRDefault="00B75C03">
      <w:pPr>
        <w:keepNext/>
        <w:keepLines/>
        <w:numPr>
          <w:ilvl w:val="0"/>
          <w:numId w:val="1"/>
        </w:numPr>
        <w:pBdr>
          <w:top w:val="nil"/>
          <w:left w:val="nil"/>
          <w:bottom w:val="nil"/>
          <w:right w:val="nil"/>
          <w:between w:val="nil"/>
        </w:pBdr>
        <w:tabs>
          <w:tab w:val="left" w:pos="0"/>
        </w:tabs>
        <w:spacing w:before="360" w:after="80"/>
        <w:jc w:val="both"/>
        <w:rPr>
          <w:rFonts w:ascii="Play" w:eastAsia="Play" w:hAnsi="Play" w:cs="Play"/>
          <w:color w:val="0F4761"/>
          <w:sz w:val="40"/>
          <w:szCs w:val="40"/>
        </w:rPr>
      </w:pPr>
    </w:p>
    <w:p w:rsidR="00B75C03" w:rsidRDefault="0075606E">
      <w:pPr>
        <w:keepNext/>
        <w:keepLines/>
        <w:numPr>
          <w:ilvl w:val="0"/>
          <w:numId w:val="1"/>
        </w:numPr>
        <w:pBdr>
          <w:top w:val="nil"/>
          <w:left w:val="nil"/>
          <w:bottom w:val="nil"/>
          <w:right w:val="nil"/>
          <w:between w:val="nil"/>
        </w:pBdr>
        <w:tabs>
          <w:tab w:val="left" w:pos="0"/>
        </w:tabs>
        <w:spacing w:before="360" w:after="80"/>
        <w:jc w:val="center"/>
        <w:rPr>
          <w:rFonts w:ascii="Play" w:eastAsia="Play" w:hAnsi="Play" w:cs="Play"/>
          <w:color w:val="0F4761"/>
          <w:sz w:val="40"/>
          <w:szCs w:val="40"/>
        </w:rPr>
      </w:pPr>
      <w:r>
        <w:rPr>
          <w:rFonts w:ascii="Play" w:eastAsia="Play" w:hAnsi="Play" w:cs="Play"/>
          <w:color w:val="0F4761"/>
          <w:sz w:val="40"/>
          <w:szCs w:val="40"/>
        </w:rPr>
        <w:t>Synthèse communicante des résultats de l’évaluation – Projet d</w:t>
      </w:r>
      <w:r>
        <w:rPr>
          <w:rFonts w:ascii="Play" w:eastAsia="Play" w:hAnsi="Play" w:cs="Play"/>
          <w:color w:val="0F4761"/>
          <w:sz w:val="40"/>
          <w:szCs w:val="40"/>
        </w:rPr>
        <w:t xml:space="preserve">’Appui aux Gouvernements Ouverts Francophones </w:t>
      </w:r>
    </w:p>
    <w:p w:rsidR="00B75C03" w:rsidRDefault="0075606E">
      <w:pPr>
        <w:keepNext/>
        <w:keepLines/>
        <w:numPr>
          <w:ilvl w:val="0"/>
          <w:numId w:val="1"/>
        </w:numPr>
        <w:pBdr>
          <w:top w:val="nil"/>
          <w:left w:val="nil"/>
          <w:bottom w:val="nil"/>
          <w:right w:val="nil"/>
          <w:between w:val="nil"/>
        </w:pBdr>
        <w:tabs>
          <w:tab w:val="left" w:pos="0"/>
        </w:tabs>
        <w:spacing w:before="360" w:after="80"/>
        <w:jc w:val="center"/>
        <w:rPr>
          <w:rFonts w:ascii="Play" w:eastAsia="Play" w:hAnsi="Play" w:cs="Play"/>
          <w:b/>
          <w:bCs/>
          <w:color w:val="0F4761"/>
          <w:sz w:val="40"/>
          <w:szCs w:val="40"/>
        </w:rPr>
      </w:pPr>
      <w:r>
        <w:rPr>
          <w:rFonts w:ascii="Play" w:eastAsia="Play" w:hAnsi="Play" w:cs="Play"/>
          <w:b/>
          <w:bCs/>
          <w:color w:val="0F4761"/>
          <w:sz w:val="40"/>
          <w:szCs w:val="40"/>
        </w:rPr>
        <w:t xml:space="preserve">PAGOF2 </w:t>
      </w:r>
    </w:p>
    <w:p w:rsidR="00B75C03" w:rsidRDefault="0075606E">
      <w:pPr>
        <w:keepNext/>
        <w:keepLines/>
        <w:numPr>
          <w:ilvl w:val="0"/>
          <w:numId w:val="1"/>
        </w:numPr>
        <w:pBdr>
          <w:top w:val="nil"/>
          <w:left w:val="nil"/>
          <w:bottom w:val="nil"/>
          <w:right w:val="nil"/>
          <w:between w:val="nil"/>
        </w:pBdr>
        <w:tabs>
          <w:tab w:val="left" w:pos="0"/>
        </w:tabs>
        <w:spacing w:before="360" w:after="80"/>
        <w:jc w:val="both"/>
        <w:rPr>
          <w:rFonts w:ascii="Play" w:eastAsia="Play" w:hAnsi="Play" w:cs="Play"/>
          <w:i/>
          <w:iCs/>
          <w:color w:val="0F4761"/>
          <w:sz w:val="32"/>
          <w:szCs w:val="32"/>
        </w:rPr>
      </w:pPr>
      <w:r>
        <w:rPr>
          <w:rFonts w:ascii="Play" w:eastAsia="Play" w:hAnsi="Play" w:cs="Play"/>
          <w:i/>
          <w:iCs/>
          <w:color w:val="0F4761"/>
          <w:sz w:val="32"/>
          <w:szCs w:val="32"/>
        </w:rPr>
        <w:t>Juillet 2026</w:t>
      </w:r>
    </w:p>
    <w:p w:rsidR="00B75C03" w:rsidRDefault="00B75C03">
      <w:pPr>
        <w:pBdr>
          <w:top w:val="nil"/>
          <w:left w:val="nil"/>
          <w:bottom w:val="nil"/>
          <w:right w:val="nil"/>
          <w:between w:val="nil"/>
        </w:pBdr>
        <w:jc w:val="both"/>
        <w:rPr>
          <w:color w:val="000000"/>
        </w:rPr>
      </w:pPr>
    </w:p>
    <w:p w:rsidR="00B75C03" w:rsidRDefault="00B75C03">
      <w:pPr>
        <w:pBdr>
          <w:top w:val="nil"/>
          <w:left w:val="nil"/>
          <w:bottom w:val="nil"/>
          <w:right w:val="nil"/>
          <w:between w:val="nil"/>
        </w:pBdr>
        <w:jc w:val="both"/>
      </w:pPr>
    </w:p>
    <w:p w:rsidR="00B75C03" w:rsidRDefault="00B75C03">
      <w:pPr>
        <w:pBdr>
          <w:top w:val="nil"/>
          <w:left w:val="nil"/>
          <w:bottom w:val="nil"/>
          <w:right w:val="nil"/>
          <w:between w:val="nil"/>
        </w:pBdr>
        <w:jc w:val="both"/>
      </w:pPr>
    </w:p>
    <w:p w:rsidR="00B75C03" w:rsidRDefault="00B75C03">
      <w:pPr>
        <w:pBdr>
          <w:top w:val="nil"/>
          <w:left w:val="nil"/>
          <w:bottom w:val="nil"/>
          <w:right w:val="nil"/>
          <w:between w:val="nil"/>
        </w:pBdr>
        <w:jc w:val="both"/>
      </w:pPr>
    </w:p>
    <w:p w:rsidR="00B75C03" w:rsidRDefault="0075606E">
      <w:pPr>
        <w:keepNext/>
        <w:keepLines/>
        <w:numPr>
          <w:ilvl w:val="0"/>
          <w:numId w:val="12"/>
        </w:numPr>
        <w:pBdr>
          <w:top w:val="nil"/>
          <w:left w:val="nil"/>
          <w:bottom w:val="nil"/>
          <w:right w:val="nil"/>
          <w:between w:val="nil"/>
        </w:pBdr>
        <w:spacing w:before="160" w:after="80"/>
        <w:jc w:val="both"/>
        <w:rPr>
          <w:rFonts w:ascii="Play" w:eastAsia="Play" w:hAnsi="Play" w:cs="Play"/>
          <w:color w:val="0F4761"/>
          <w:sz w:val="32"/>
          <w:szCs w:val="32"/>
        </w:rPr>
      </w:pPr>
      <w:r>
        <w:rPr>
          <w:rFonts w:ascii="Play" w:eastAsia="Play" w:hAnsi="Play" w:cs="Play"/>
          <w:color w:val="0F4761"/>
          <w:sz w:val="32"/>
          <w:szCs w:val="32"/>
        </w:rPr>
        <w:t>Introduction et contexte stratégique</w:t>
      </w:r>
    </w:p>
    <w:p w:rsidR="00B75C03" w:rsidRDefault="00B75C03">
      <w:pPr>
        <w:pBdr>
          <w:top w:val="nil"/>
          <w:left w:val="nil"/>
          <w:bottom w:val="nil"/>
          <w:right w:val="nil"/>
          <w:between w:val="nil"/>
        </w:pBdr>
        <w:jc w:val="both"/>
        <w:rPr>
          <w:color w:val="000000"/>
        </w:rPr>
      </w:pP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Le Projet d’Appui aux Gouvernements Ouverts Francophones – phase 2 (PAGOF2) représente l’initiative phare de la coopération française en faveur de la transparence et de la redevabilité publique dans l’espace francophone. Financé par l’Agence Française de D</w:t>
      </w:r>
      <w:r>
        <w:rPr>
          <w:rFonts w:ascii="Calibri" w:eastAsia="Calibri" w:hAnsi="Calibri" w:cs="Calibri"/>
          <w:color w:val="000000"/>
          <w:sz w:val="24"/>
          <w:szCs w:val="24"/>
        </w:rPr>
        <w:t>éveloppement (AFD) et orchestré par Expertise France en partenariat étroit avec le Secrétariat du Partenariat pour un Gouvernement Ouvert (PGO/OGP), ce programme s’inscrit dans le cadre de l’engagement n°4 du 4ème Plan d’Action National (PAN) de la France.</w:t>
      </w:r>
      <w:r>
        <w:rPr>
          <w:rFonts w:ascii="Calibri" w:eastAsia="Calibri" w:hAnsi="Calibri" w:cs="Calibri"/>
          <w:color w:val="000000"/>
          <w:sz w:val="24"/>
          <w:szCs w:val="24"/>
        </w:rPr>
        <w:t xml:space="preserve"> Son ambition est de transformer les principes de gouvernement ouvert (GO) en réalités tangibles pour les citoyens d’Afrique francophone, dans un contexte global marqué par des tensions démocratiques et un rétrécissement préoccupant de l’espace civique.</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lastRenderedPageBreak/>
        <w:t>Méthodologie de l’évaluation et cadre analytique</w:t>
      </w:r>
    </w:p>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color w:val="000000"/>
          <w:sz w:val="24"/>
          <w:szCs w:val="24"/>
        </w:rPr>
        <w:t xml:space="preserve">En tant qu’experts en évaluation, notre approche ne s’est pas limitée à un simple audit comptable des activités. Nous avons mobilisé une méthodologie rigoureuse basée sur la </w:t>
      </w:r>
      <w:r>
        <w:rPr>
          <w:rFonts w:ascii="Calibri" w:eastAsia="Calibri" w:hAnsi="Calibri" w:cs="Calibri"/>
          <w:b/>
          <w:bCs/>
          <w:color w:val="000000"/>
          <w:sz w:val="24"/>
          <w:szCs w:val="24"/>
        </w:rPr>
        <w:t>Théorie du Changement</w:t>
      </w:r>
      <w:r>
        <w:rPr>
          <w:rFonts w:ascii="Calibri" w:eastAsia="Calibri" w:hAnsi="Calibri" w:cs="Calibri"/>
          <w:color w:val="000000"/>
          <w:sz w:val="24"/>
          <w:szCs w:val="24"/>
        </w:rPr>
        <w:t xml:space="preserve"> du projet, complétée par une </w:t>
      </w:r>
      <w:r>
        <w:rPr>
          <w:rFonts w:ascii="Calibri" w:eastAsia="Calibri" w:hAnsi="Calibri" w:cs="Calibri"/>
          <w:b/>
          <w:bCs/>
          <w:color w:val="000000"/>
          <w:sz w:val="24"/>
          <w:szCs w:val="24"/>
        </w:rPr>
        <w:t>Analyse de Contribution</w:t>
      </w:r>
      <w:r>
        <w:rPr>
          <w:rFonts w:ascii="Calibri" w:eastAsia="Calibri" w:hAnsi="Calibri" w:cs="Calibri"/>
          <w:color w:val="000000"/>
          <w:sz w:val="24"/>
          <w:szCs w:val="24"/>
        </w:rPr>
        <w:t xml:space="preserve"> et la technique de la </w:t>
      </w:r>
      <w:r>
        <w:rPr>
          <w:rFonts w:ascii="Calibri" w:eastAsia="Calibri" w:hAnsi="Calibri" w:cs="Calibri"/>
          <w:b/>
          <w:bCs/>
          <w:color w:val="000000"/>
          <w:sz w:val="24"/>
          <w:szCs w:val="24"/>
        </w:rPr>
        <w:t>Récolte des Effets (Outcome Harvesting)</w:t>
      </w:r>
      <w:r>
        <w:rPr>
          <w:rFonts w:ascii="Calibri" w:eastAsia="Calibri" w:hAnsi="Calibri" w:cs="Calibri"/>
          <w:color w:val="000000"/>
          <w:sz w:val="24"/>
          <w:szCs w:val="24"/>
        </w:rPr>
        <w:t>. Cette dernière a permis d’identifier les changements comportementaux et institutionnels non prévus initialement, capturant ainsi la richess</w:t>
      </w:r>
      <w:r>
        <w:rPr>
          <w:rFonts w:ascii="Calibri" w:eastAsia="Calibri" w:hAnsi="Calibri" w:cs="Calibri"/>
          <w:color w:val="000000"/>
          <w:sz w:val="24"/>
          <w:szCs w:val="24"/>
        </w:rPr>
        <w:t>e des dynamiques de réforme. L’évaluation s’appuie sur les six critères du CAD de l’OCDE, passés au crible d’une triangulation systématique des données (revue de 108 formations, entretiens avec 1 395 acteurs et analyse des indicateurs au 4 mai 2025).</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Un C</w:t>
      </w:r>
      <w:r>
        <w:rPr>
          <w:color w:val="0F4761"/>
          <w:sz w:val="28"/>
          <w:szCs w:val="28"/>
        </w:rPr>
        <w:t>ontexte régional en mutation : vers l'État Ouvert</w:t>
      </w:r>
    </w:p>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color w:val="000000"/>
          <w:sz w:val="24"/>
          <w:szCs w:val="24"/>
        </w:rPr>
        <w:t>Le PAGOF2 intervient dans un périmètre géographique stratégique (Maroc, Côte d’Ivoire, Tunisie, Sénégal, Bénin) caractérisé par une hétérogénéité des trajectoires politiques. La période 2022-2026 a été marq</w:t>
      </w:r>
      <w:r>
        <w:rPr>
          <w:rFonts w:ascii="Calibri" w:eastAsia="Calibri" w:hAnsi="Calibri" w:cs="Calibri"/>
          <w:color w:val="000000"/>
          <w:sz w:val="24"/>
          <w:szCs w:val="24"/>
        </w:rPr>
        <w:t>uée par des chocs exogènes majeurs : instabilité politique au Sahel (conduisant à l'arrêt des activités au Burkina Faso en 2022), tensions diplomatiques fluctuantes et alternances électorales. Face à ces défis, le projet a opéré un glissement conceptuel fo</w:t>
      </w:r>
      <w:r>
        <w:rPr>
          <w:rFonts w:ascii="Calibri" w:eastAsia="Calibri" w:hAnsi="Calibri" w:cs="Calibri"/>
          <w:color w:val="000000"/>
          <w:sz w:val="24"/>
          <w:szCs w:val="24"/>
        </w:rPr>
        <w:t>ndamental : passer du "Gouvernement Ouvert" (centré sur l'exécutif) à l'</w:t>
      </w:r>
      <w:r>
        <w:rPr>
          <w:rFonts w:ascii="Calibri" w:eastAsia="Calibri" w:hAnsi="Calibri" w:cs="Calibri"/>
          <w:b/>
          <w:bCs/>
          <w:color w:val="000000"/>
          <w:sz w:val="24"/>
          <w:szCs w:val="24"/>
        </w:rPr>
        <w:t>"État Ouvert"</w:t>
      </w:r>
      <w:r>
        <w:rPr>
          <w:rFonts w:ascii="Calibri" w:eastAsia="Calibri" w:hAnsi="Calibri" w:cs="Calibri"/>
          <w:color w:val="000000"/>
          <w:sz w:val="24"/>
          <w:szCs w:val="24"/>
        </w:rPr>
        <w:t>, impliquant les parlements, le système judiciaire et les collectivités territoriales.</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Le tableau ci-dessous synthétise le périmètre et les priorités stratégiques de l'int</w:t>
      </w:r>
      <w:r>
        <w:rPr>
          <w:rFonts w:ascii="Calibri" w:eastAsia="Calibri" w:hAnsi="Calibri" w:cs="Calibri"/>
          <w:color w:val="000000"/>
          <w:sz w:val="24"/>
          <w:szCs w:val="24"/>
        </w:rPr>
        <w:t>ervention :</w:t>
      </w:r>
    </w:p>
    <w:p w:rsidR="00B75C03" w:rsidRDefault="00B75C03">
      <w:pPr>
        <w:pBdr>
          <w:top w:val="nil"/>
          <w:left w:val="nil"/>
          <w:bottom w:val="nil"/>
          <w:right w:val="nil"/>
          <w:between w:val="nil"/>
        </w:pBdr>
        <w:spacing w:before="40" w:after="40" w:line="240" w:lineRule="auto"/>
        <w:jc w:val="both"/>
        <w:rPr>
          <w:rFonts w:ascii="Calibri" w:eastAsia="Calibri" w:hAnsi="Calibri" w:cs="Calibri"/>
          <w:color w:val="000000"/>
          <w:sz w:val="24"/>
          <w:szCs w:val="24"/>
        </w:rPr>
      </w:pPr>
    </w:p>
    <w:p w:rsidR="00B75C03" w:rsidRDefault="00B75C03">
      <w:pPr>
        <w:pBdr>
          <w:top w:val="nil"/>
          <w:left w:val="nil"/>
          <w:bottom w:val="nil"/>
          <w:right w:val="nil"/>
          <w:between w:val="nil"/>
        </w:pBdr>
        <w:spacing w:before="40" w:after="40" w:line="240" w:lineRule="auto"/>
        <w:jc w:val="both"/>
        <w:rPr>
          <w:rFonts w:ascii="Calibri" w:eastAsia="Calibri" w:hAnsi="Calibri" w:cs="Calibri"/>
          <w:color w:val="000000"/>
          <w:sz w:val="24"/>
          <w:szCs w:val="24"/>
        </w:rPr>
      </w:pPr>
    </w:p>
    <w:tbl>
      <w:tblPr>
        <w:tblStyle w:val="a"/>
        <w:tblW w:w="9072"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2"/>
        <w:gridCol w:w="1912"/>
        <w:gridCol w:w="6068"/>
      </w:tblGrid>
      <w:tr w:rsidR="00B75C03">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Pays</w:t>
            </w:r>
          </w:p>
        </w:tc>
        <w:tc>
          <w:tcPr>
            <w:tcW w:w="1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Période d'intervention</w:t>
            </w:r>
          </w:p>
        </w:tc>
        <w:tc>
          <w:tcPr>
            <w:tcW w:w="6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Principaux axes de réforme / Priorités stratégiques</w:t>
            </w:r>
          </w:p>
        </w:tc>
      </w:tr>
      <w:tr w:rsidR="00B75C03">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Maroc</w:t>
            </w:r>
          </w:p>
        </w:tc>
        <w:tc>
          <w:tcPr>
            <w:tcW w:w="1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2022 - 2026</w:t>
            </w:r>
          </w:p>
        </w:tc>
        <w:tc>
          <w:tcPr>
            <w:tcW w:w="6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Territorialisation (REMACTO), Justice ouverte, Accès à l'information (enquête 2025).</w:t>
            </w:r>
          </w:p>
        </w:tc>
      </w:tr>
      <w:tr w:rsidR="00B75C03">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Côte d’Ivoire</w:t>
            </w:r>
          </w:p>
        </w:tc>
        <w:tc>
          <w:tcPr>
            <w:tcW w:w="1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2022 - 2026</w:t>
            </w:r>
          </w:p>
        </w:tc>
        <w:tc>
          <w:tcPr>
            <w:tcW w:w="6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Parlement ouvert, Lutte contre la corruption (HABG), Budget participatif local.</w:t>
            </w:r>
          </w:p>
        </w:tc>
      </w:tr>
      <w:tr w:rsidR="00B75C03">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Tunisie</w:t>
            </w:r>
          </w:p>
        </w:tc>
        <w:tc>
          <w:tcPr>
            <w:tcW w:w="1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2022 - 2026</w:t>
            </w:r>
          </w:p>
        </w:tc>
        <w:tc>
          <w:tcPr>
            <w:tcW w:w="6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Stratégie Nationale de la Donnée 2026-2030, Budget citoyen accessible, Open Data.</w:t>
            </w:r>
          </w:p>
        </w:tc>
      </w:tr>
      <w:tr w:rsidR="00B75C03">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Sénégal</w:t>
            </w:r>
          </w:p>
        </w:tc>
        <w:tc>
          <w:tcPr>
            <w:tcW w:w="1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2022 - 2026</w:t>
            </w:r>
          </w:p>
        </w:tc>
        <w:tc>
          <w:tcPr>
            <w:tcW w:w="6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Arsenal législatif (4 lois majeures), PGO Local (Yoff, Dakar), Civisme fiscal.</w:t>
            </w:r>
          </w:p>
        </w:tc>
      </w:tr>
      <w:tr w:rsidR="00B75C03">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Bénin</w:t>
            </w:r>
          </w:p>
        </w:tc>
        <w:tc>
          <w:tcPr>
            <w:tcW w:w="1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2024 - 2025</w:t>
            </w:r>
          </w:p>
        </w:tc>
        <w:tc>
          <w:tcPr>
            <w:tcW w:w="6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Accompagnement stratégique vers l'adhésion officielle au PGO (obtenue en 04/2025).</w:t>
            </w:r>
          </w:p>
        </w:tc>
      </w:tr>
      <w:tr w:rsidR="00B75C03">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Burkina Faso</w:t>
            </w:r>
          </w:p>
        </w:tc>
        <w:tc>
          <w:tcPr>
            <w:tcW w:w="1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2022 (Arrêt)</w:t>
            </w:r>
          </w:p>
        </w:tc>
        <w:tc>
          <w:tcPr>
            <w:tcW w:w="6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Interruption des activités suite au coup d'État ; réallocation des ressources.</w:t>
            </w:r>
          </w:p>
        </w:tc>
      </w:tr>
    </w:tbl>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1"/>
          <w:numId w:val="1"/>
        </w:numPr>
        <w:pBdr>
          <w:top w:val="nil"/>
          <w:left w:val="nil"/>
          <w:bottom w:val="nil"/>
          <w:right w:val="nil"/>
          <w:between w:val="nil"/>
        </w:pBdr>
        <w:tabs>
          <w:tab w:val="left" w:pos="0"/>
        </w:tabs>
        <w:spacing w:before="160" w:after="80"/>
        <w:jc w:val="both"/>
        <w:rPr>
          <w:rFonts w:ascii="Play" w:eastAsia="Play" w:hAnsi="Play" w:cs="Play"/>
          <w:color w:val="0F4761"/>
          <w:sz w:val="32"/>
          <w:szCs w:val="32"/>
        </w:rPr>
      </w:pPr>
      <w:r>
        <w:rPr>
          <w:rFonts w:ascii="Play" w:eastAsia="Play" w:hAnsi="Play" w:cs="Play"/>
          <w:color w:val="0F4761"/>
          <w:sz w:val="32"/>
          <w:szCs w:val="32"/>
        </w:rPr>
        <w:t>2. Analyse de la Pertinence</w:t>
      </w:r>
    </w:p>
    <w:p w:rsidR="00B75C03" w:rsidRDefault="00B75C03">
      <w:pPr>
        <w:pBdr>
          <w:top w:val="nil"/>
          <w:left w:val="nil"/>
          <w:bottom w:val="nil"/>
          <w:right w:val="nil"/>
          <w:between w:val="nil"/>
        </w:pBdr>
        <w:spacing w:before="40" w:after="40" w:line="240" w:lineRule="auto"/>
        <w:jc w:val="both"/>
        <w:rPr>
          <w:rFonts w:ascii="Calibri" w:eastAsia="Calibri" w:hAnsi="Calibri" w:cs="Calibri"/>
          <w:color w:val="000000"/>
          <w:sz w:val="24"/>
          <w:szCs w:val="24"/>
        </w:rPr>
      </w:pPr>
    </w:p>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color w:val="000000"/>
          <w:sz w:val="24"/>
          <w:szCs w:val="24"/>
        </w:rPr>
        <w:lastRenderedPageBreak/>
        <w:t xml:space="preserve">La pertinence du PAGOF2 est jugée </w:t>
      </w:r>
      <w:r>
        <w:rPr>
          <w:rFonts w:ascii="Calibri" w:eastAsia="Calibri" w:hAnsi="Calibri" w:cs="Calibri"/>
          <w:b/>
          <w:bCs/>
          <w:color w:val="000000"/>
          <w:sz w:val="24"/>
          <w:szCs w:val="24"/>
        </w:rPr>
        <w:t>élevée (Score Stratégique : 4/5)</w:t>
      </w:r>
      <w:r>
        <w:rPr>
          <w:rFonts w:ascii="Calibri" w:eastAsia="Calibri" w:hAnsi="Calibri" w:cs="Calibri"/>
          <w:color w:val="000000"/>
          <w:sz w:val="24"/>
          <w:szCs w:val="24"/>
        </w:rPr>
        <w:t>. Le projet a su éviter l'écueil de l'imposition d'un agenda exogène pour se positionner comme le catalyseur technique des réformes nationales déjà identifiées par les États partenaires.</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Alignement thématique et réponse aux besoins</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Le projet s’est rigoure</w:t>
      </w:r>
      <w:r>
        <w:rPr>
          <w:rFonts w:ascii="Calibri" w:eastAsia="Calibri" w:hAnsi="Calibri" w:cs="Calibri"/>
          <w:color w:val="000000"/>
          <w:sz w:val="24"/>
          <w:szCs w:val="24"/>
        </w:rPr>
        <w:t xml:space="preserve">usement ancré dans les Plans d’Action Nationaux (PAN) du PGO, agissant comme le bras financier pour débloquer des engagements souvent en souffrance. Au Maroc, le soutien à l’enquête d’évaluation de la loi sur l’accès à l’information (réalisée en mars 2025 </w:t>
      </w:r>
      <w:r>
        <w:rPr>
          <w:rFonts w:ascii="Calibri" w:eastAsia="Calibri" w:hAnsi="Calibri" w:cs="Calibri"/>
          <w:color w:val="000000"/>
          <w:sz w:val="24"/>
          <w:szCs w:val="24"/>
        </w:rPr>
        <w:t>auprès de 1 200 usagers) répond à un besoin critique de redevabilité sur l'effectivité des textes. En Côte d'Ivoire, l'appui à la Haute Autorité pour la Bonne Gouvernance (HABG) a permis de traduire une stratégie nationale en un programme opérationnel conc</w:t>
      </w:r>
      <w:r>
        <w:rPr>
          <w:rFonts w:ascii="Calibri" w:eastAsia="Calibri" w:hAnsi="Calibri" w:cs="Calibri"/>
          <w:color w:val="000000"/>
          <w:sz w:val="24"/>
          <w:szCs w:val="24"/>
        </w:rPr>
        <w:t>ret.</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La Rupture stratégique : territorialisation et concentration</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Tirant les leçons du PAGOF1, le projet a opéré deux ajustements doctrinaux majeurs :</w:t>
      </w:r>
    </w:p>
    <w:p w:rsidR="00B75C03" w:rsidRDefault="0075606E">
      <w:pPr>
        <w:numPr>
          <w:ilvl w:val="0"/>
          <w:numId w:val="14"/>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La Territorialisation :</w:t>
      </w:r>
      <w:r>
        <w:rPr>
          <w:rFonts w:ascii="Calibri" w:eastAsia="Calibri" w:hAnsi="Calibri" w:cs="Calibri"/>
          <w:color w:val="000000"/>
          <w:sz w:val="24"/>
          <w:szCs w:val="24"/>
        </w:rPr>
        <w:t xml:space="preserve"> Le projet a déplacé son centre de gravité vers le niveau infranational (95 communes au Maroc, pôles locaux au Sénégal). Cette approche a rendu les concepts de transparence concrets pour les citoyens via la gestion des budgets de quartier, sortant le GO de</w:t>
      </w:r>
      <w:r>
        <w:rPr>
          <w:rFonts w:ascii="Calibri" w:eastAsia="Calibri" w:hAnsi="Calibri" w:cs="Calibri"/>
          <w:color w:val="000000"/>
          <w:sz w:val="24"/>
          <w:szCs w:val="24"/>
        </w:rPr>
        <w:t>s élites administratives des capitales.</w:t>
      </w:r>
    </w:p>
    <w:p w:rsidR="00B75C03" w:rsidRDefault="0075606E">
      <w:pPr>
        <w:numPr>
          <w:ilvl w:val="0"/>
          <w:numId w:val="14"/>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La Concentration Thématique :</w:t>
      </w:r>
      <w:r>
        <w:rPr>
          <w:rFonts w:ascii="Calibri" w:eastAsia="Calibri" w:hAnsi="Calibri" w:cs="Calibri"/>
          <w:color w:val="000000"/>
          <w:sz w:val="24"/>
          <w:szCs w:val="24"/>
        </w:rPr>
        <w:t xml:space="preserve"> Plutôt que de s'éparpiller sur la totalité des engagements PAN, le PAGOF2 s'est focalisé sur des chantiers structurants. Au Sénégal, ce recentrage a permis de focaliser le plaidoyer sur </w:t>
      </w:r>
      <w:r>
        <w:rPr>
          <w:rFonts w:ascii="Calibri" w:eastAsia="Calibri" w:hAnsi="Calibri" w:cs="Calibri"/>
          <w:color w:val="000000"/>
          <w:sz w:val="24"/>
          <w:szCs w:val="24"/>
        </w:rPr>
        <w:t>l'adoption simultanée de quatre lois majeures en septembre 2025.</w:t>
      </w:r>
    </w:p>
    <w:p w:rsidR="00B75C03" w:rsidRDefault="00B75C03">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Données de performance (valeurs au 4 mai 2025)</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L'alignement opérationnel est corroboré par les taux de réalisation des engagements :</w:t>
      </w:r>
    </w:p>
    <w:p w:rsidR="00B75C03" w:rsidRDefault="00B75C03">
      <w:pPr>
        <w:pBdr>
          <w:top w:val="nil"/>
          <w:left w:val="nil"/>
          <w:bottom w:val="nil"/>
          <w:right w:val="nil"/>
          <w:between w:val="nil"/>
        </w:pBdr>
        <w:spacing w:before="40" w:after="40" w:line="240" w:lineRule="auto"/>
        <w:jc w:val="both"/>
        <w:rPr>
          <w:rFonts w:ascii="Calibri" w:eastAsia="Calibri" w:hAnsi="Calibri" w:cs="Calibri"/>
          <w:sz w:val="24"/>
          <w:szCs w:val="24"/>
        </w:rPr>
      </w:pPr>
    </w:p>
    <w:tbl>
      <w:tblPr>
        <w:tblStyle w:val="a0"/>
        <w:tblW w:w="9072"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00"/>
        <w:gridCol w:w="1161"/>
        <w:gridCol w:w="2111"/>
      </w:tblGrid>
      <w:tr w:rsidR="00B75C03">
        <w:tc>
          <w:tcPr>
            <w:tcW w:w="5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Indicateur de pertinence</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Valeur Cible</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Valeur au 04/05/2025</w:t>
            </w:r>
          </w:p>
        </w:tc>
      </w:tr>
      <w:tr w:rsidR="00B75C03">
        <w:tc>
          <w:tcPr>
            <w:tcW w:w="5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Taux de réalisation des réformes PAN accompagnées</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70%</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70%</w:t>
            </w:r>
          </w:p>
        </w:tc>
      </w:tr>
      <w:tr w:rsidR="00B75C03">
        <w:tc>
          <w:tcPr>
            <w:tcW w:w="5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Taux de réalisation global des engagements PAN</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70%</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73%</w:t>
            </w:r>
          </w:p>
        </w:tc>
      </w:tr>
      <w:tr w:rsidR="00B75C03">
        <w:tc>
          <w:tcPr>
            <w:tcW w:w="5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Taux de réalisation des actions PAN spécifiquement appuyées</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60%</w:t>
            </w:r>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74%</w:t>
            </w:r>
          </w:p>
        </w:tc>
      </w:tr>
    </w:tbl>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Appropriation et contrastes nationaux</w:t>
      </w:r>
    </w:p>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color w:val="000000"/>
          <w:sz w:val="24"/>
          <w:szCs w:val="24"/>
        </w:rPr>
        <w:t xml:space="preserve">L'appropriation est jugée forte mais asymétrique. Au Maroc, la co-construction est la norme. </w:t>
      </w:r>
      <w:r>
        <w:rPr>
          <w:rFonts w:ascii="Calibri" w:eastAsia="Calibri" w:hAnsi="Calibri" w:cs="Calibri"/>
          <w:b/>
          <w:bCs/>
          <w:color w:val="000000"/>
          <w:sz w:val="24"/>
          <w:szCs w:val="24"/>
        </w:rPr>
        <w:t>Mustapha Bahedda</w:t>
      </w:r>
      <w:r>
        <w:rPr>
          <w:rFonts w:ascii="Calibri" w:eastAsia="Calibri" w:hAnsi="Calibri" w:cs="Calibri"/>
          <w:color w:val="000000"/>
          <w:sz w:val="24"/>
          <w:szCs w:val="24"/>
        </w:rPr>
        <w:t xml:space="preserve"> (Ministère de la Transition numérique) affirme : </w:t>
      </w:r>
      <w:r>
        <w:rPr>
          <w:rFonts w:ascii="Calibri" w:eastAsia="Calibri" w:hAnsi="Calibri" w:cs="Calibri"/>
          <w:i/>
          <w:iCs/>
          <w:color w:val="000000"/>
          <w:sz w:val="24"/>
          <w:szCs w:val="24"/>
        </w:rPr>
        <w:t>« Le projet a été co-construit, co-mis en œuvre, et est aujourd’hui co-évalué — c’est ce que l’ap</w:t>
      </w:r>
      <w:r>
        <w:rPr>
          <w:rFonts w:ascii="Calibri" w:eastAsia="Calibri" w:hAnsi="Calibri" w:cs="Calibri"/>
          <w:i/>
          <w:iCs/>
          <w:color w:val="000000"/>
          <w:sz w:val="24"/>
          <w:szCs w:val="24"/>
        </w:rPr>
        <w:t>propriation nationale véritable signifie concrètement. »</w:t>
      </w:r>
      <w:r>
        <w:rPr>
          <w:rFonts w:ascii="Calibri" w:eastAsia="Calibri" w:hAnsi="Calibri" w:cs="Calibri"/>
          <w:color w:val="000000"/>
          <w:sz w:val="24"/>
          <w:szCs w:val="24"/>
        </w:rPr>
        <w:t xml:space="preserve"> En revanche, au Sénégal, l'appropriation reste fragile, perçue par certains comme un agenda promu par les bailleurs malgré un portage technique réel. Un membre du comité national sénégalais tempère :</w:t>
      </w:r>
      <w:r>
        <w:rPr>
          <w:rFonts w:ascii="Calibri" w:eastAsia="Calibri" w:hAnsi="Calibri" w:cs="Calibri"/>
          <w:color w:val="000000"/>
          <w:sz w:val="24"/>
          <w:szCs w:val="24"/>
        </w:rPr>
        <w:t xml:space="preserve"> </w:t>
      </w:r>
      <w:r>
        <w:rPr>
          <w:rFonts w:ascii="Calibri" w:eastAsia="Calibri" w:hAnsi="Calibri" w:cs="Calibri"/>
          <w:i/>
          <w:iCs/>
          <w:color w:val="000000"/>
          <w:sz w:val="24"/>
          <w:szCs w:val="24"/>
        </w:rPr>
        <w:t xml:space="preserve">« PAGOF2, c’est la </w:t>
      </w:r>
      <w:r>
        <w:rPr>
          <w:rFonts w:ascii="Calibri" w:eastAsia="Calibri" w:hAnsi="Calibri" w:cs="Calibri"/>
          <w:i/>
          <w:iCs/>
          <w:color w:val="000000"/>
          <w:sz w:val="24"/>
          <w:szCs w:val="24"/>
        </w:rPr>
        <w:lastRenderedPageBreak/>
        <w:t>fondation même du PGO au Sénégal »</w:t>
      </w:r>
      <w:r>
        <w:rPr>
          <w:rFonts w:ascii="Calibri" w:eastAsia="Calibri" w:hAnsi="Calibri" w:cs="Calibri"/>
          <w:color w:val="000000"/>
          <w:sz w:val="24"/>
          <w:szCs w:val="24"/>
        </w:rPr>
        <w:t>, tout en notant que l'instabilité gouvernementale a parfois freiné le portage politique de haut niveau.</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Inclusion des besoins différenciés et territorialisation</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L'ancrage local a servi de vecteur d'inclusion pour les territoires marginalisés. Des initiatives comme le "Budget citoyen pour tous" en Tunisie (accessible aux malvoyants) ou le relais "OSC-tribunal" pour les femmes rurales au Maroc démontrent une capacit</w:t>
      </w:r>
      <w:r>
        <w:rPr>
          <w:rFonts w:ascii="Calibri" w:eastAsia="Calibri" w:hAnsi="Calibri" w:cs="Calibri"/>
          <w:color w:val="000000"/>
          <w:sz w:val="24"/>
          <w:szCs w:val="24"/>
        </w:rPr>
        <w:t>é à répondre aux besoins spécifiques de publics vulnérables, bien que cette approche doive encore être systématisée par une désagrégation plus fine des données.</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1"/>
          <w:numId w:val="1"/>
        </w:numPr>
        <w:pBdr>
          <w:top w:val="nil"/>
          <w:left w:val="nil"/>
          <w:bottom w:val="nil"/>
          <w:right w:val="nil"/>
          <w:between w:val="nil"/>
        </w:pBdr>
        <w:tabs>
          <w:tab w:val="left" w:pos="0"/>
        </w:tabs>
        <w:spacing w:before="160" w:after="80"/>
        <w:jc w:val="both"/>
        <w:rPr>
          <w:rFonts w:ascii="Play" w:eastAsia="Play" w:hAnsi="Play" w:cs="Play"/>
          <w:color w:val="0F4761"/>
          <w:sz w:val="32"/>
          <w:szCs w:val="32"/>
        </w:rPr>
      </w:pPr>
      <w:r>
        <w:rPr>
          <w:rFonts w:ascii="Play" w:eastAsia="Play" w:hAnsi="Play" w:cs="Play"/>
          <w:color w:val="0F4761"/>
          <w:sz w:val="32"/>
          <w:szCs w:val="32"/>
        </w:rPr>
        <w:t>3. Analyse de la Cohérence</w:t>
      </w:r>
    </w:p>
    <w:p w:rsidR="00B75C03" w:rsidRDefault="00B75C03">
      <w:pPr>
        <w:pBdr>
          <w:top w:val="nil"/>
          <w:left w:val="nil"/>
          <w:bottom w:val="nil"/>
          <w:right w:val="nil"/>
          <w:between w:val="nil"/>
        </w:pBdr>
        <w:spacing w:before="40" w:after="40" w:line="240" w:lineRule="auto"/>
        <w:jc w:val="both"/>
        <w:rPr>
          <w:rFonts w:ascii="Calibri" w:eastAsia="Calibri" w:hAnsi="Calibri" w:cs="Calibri"/>
          <w:color w:val="000000"/>
          <w:sz w:val="24"/>
          <w:szCs w:val="24"/>
        </w:rPr>
      </w:pP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La cohérence du PAGOF2 repose sur un équilibre complexe entre synergie interne Expertise France-PGO et articulation avec un écosystème multi-bailleurs saturé.</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Synergie Expertise France et secrétariat du PGO</w:t>
      </w:r>
    </w:p>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color w:val="000000"/>
          <w:sz w:val="24"/>
          <w:szCs w:val="24"/>
        </w:rPr>
        <w:t>L'articulation entre Expertise France (opérateur technique) et l'Unité de Soutien du PGO (conseil politique) est qualifiée d'</w:t>
      </w:r>
      <w:r>
        <w:rPr>
          <w:rFonts w:ascii="Calibri" w:eastAsia="Calibri" w:hAnsi="Calibri" w:cs="Calibri"/>
          <w:b/>
          <w:bCs/>
          <w:color w:val="000000"/>
          <w:sz w:val="24"/>
          <w:szCs w:val="24"/>
        </w:rPr>
        <w:t>"attelage gagnant"</w:t>
      </w:r>
      <w:r>
        <w:rPr>
          <w:rFonts w:ascii="Calibri" w:eastAsia="Calibri" w:hAnsi="Calibri" w:cs="Calibri"/>
          <w:color w:val="000000"/>
          <w:sz w:val="24"/>
          <w:szCs w:val="24"/>
        </w:rPr>
        <w:t>. Cette collaboration a permis de lier les réformes techniques aux standards mondiaux de l'OGP. La tenue systémat</w:t>
      </w:r>
      <w:r>
        <w:rPr>
          <w:rFonts w:ascii="Calibri" w:eastAsia="Calibri" w:hAnsi="Calibri" w:cs="Calibri"/>
          <w:color w:val="000000"/>
          <w:sz w:val="24"/>
          <w:szCs w:val="24"/>
        </w:rPr>
        <w:t xml:space="preserve">ique de comités de pilotage lors de chaque séminaire régional (Rabat, Abidjan) a garanti une vision stratégique partagée. La complémentarité est totale : EF apporte la coordination et l'expertise, le PGO apporte un cadre politique international et l'accès </w:t>
      </w:r>
      <w:r>
        <w:rPr>
          <w:rFonts w:ascii="Calibri" w:eastAsia="Calibri" w:hAnsi="Calibri" w:cs="Calibri"/>
          <w:color w:val="000000"/>
          <w:sz w:val="24"/>
          <w:szCs w:val="24"/>
        </w:rPr>
        <w:t>au Mécanisme de Reporting Indépendant (IRM).</w:t>
      </w:r>
    </w:p>
    <w:p w:rsidR="00B75C03" w:rsidRDefault="00B75C03">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Cohérence externe : Un bilan contrasté</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L'articulation avec les autres Partenaires Techniques et Financiers (PTF), notamment avec les autres bailleurs internationaux, révèle des disparités nationales :</w:t>
      </w:r>
    </w:p>
    <w:p w:rsidR="00B75C03" w:rsidRDefault="0075606E">
      <w:pPr>
        <w:numPr>
          <w:ilvl w:val="0"/>
          <w:numId w:val="15"/>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Maroc :</w:t>
      </w:r>
      <w:r>
        <w:rPr>
          <w:rFonts w:ascii="Calibri" w:eastAsia="Calibri" w:hAnsi="Calibri" w:cs="Calibri"/>
          <w:color w:val="000000"/>
          <w:sz w:val="24"/>
          <w:szCs w:val="24"/>
        </w:rPr>
        <w:t xml:space="preserve"> C</w:t>
      </w:r>
      <w:r>
        <w:rPr>
          <w:rFonts w:ascii="Calibri" w:eastAsia="Calibri" w:hAnsi="Calibri" w:cs="Calibri"/>
          <w:color w:val="000000"/>
          <w:sz w:val="24"/>
          <w:szCs w:val="24"/>
        </w:rPr>
        <w:t>ohérence exemplaire. La DGCT a réparti les rôles : l'OCDE pilote le cadre général, l'UE soutient les communes, et le PAGOF2 assure la formation et l'ingénierie.</w:t>
      </w:r>
    </w:p>
    <w:p w:rsidR="00B75C03" w:rsidRDefault="0075606E">
      <w:pPr>
        <w:numPr>
          <w:ilvl w:val="0"/>
          <w:numId w:val="15"/>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Tunisie :</w:t>
      </w:r>
      <w:r>
        <w:rPr>
          <w:rFonts w:ascii="Calibri" w:eastAsia="Calibri" w:hAnsi="Calibri" w:cs="Calibri"/>
          <w:color w:val="000000"/>
          <w:sz w:val="24"/>
          <w:szCs w:val="24"/>
        </w:rPr>
        <w:t xml:space="preserve"> L’Unité de l’Administration Électronique a maintenu une coordination efficace, malgré un désengagement progressif des autres bailleurs face au contexte politique.</w:t>
      </w:r>
    </w:p>
    <w:p w:rsidR="00B75C03" w:rsidRDefault="0075606E">
      <w:pPr>
        <w:numPr>
          <w:ilvl w:val="0"/>
          <w:numId w:val="15"/>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Sénégal et Côte d'Ivoire :</w:t>
      </w:r>
      <w:r>
        <w:rPr>
          <w:rFonts w:ascii="Calibri" w:eastAsia="Calibri" w:hAnsi="Calibri" w:cs="Calibri"/>
          <w:color w:val="000000"/>
          <w:sz w:val="24"/>
          <w:szCs w:val="24"/>
        </w:rPr>
        <w:t xml:space="preserve"> La coordination reste informelle. Le manque de cadres permanents </w:t>
      </w:r>
      <w:r>
        <w:rPr>
          <w:rFonts w:ascii="Calibri" w:eastAsia="Calibri" w:hAnsi="Calibri" w:cs="Calibri"/>
          <w:color w:val="000000"/>
          <w:sz w:val="24"/>
          <w:szCs w:val="24"/>
        </w:rPr>
        <w:t>de partage entre l'AFD, l'UE et la Banque Mondiale a limité les synergies sur des thématiques comme l'accès à l'information.</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Flexibilité face aux crises et résilience institutionnelle</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 xml:space="preserve">Le projet a fait preuve d'une agilité remarquable face aux turbulences </w:t>
      </w:r>
      <w:r>
        <w:rPr>
          <w:rFonts w:ascii="Calibri" w:eastAsia="Calibri" w:hAnsi="Calibri" w:cs="Calibri"/>
          <w:color w:val="000000"/>
          <w:sz w:val="24"/>
          <w:szCs w:val="24"/>
        </w:rPr>
        <w:t>politiques :</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lastRenderedPageBreak/>
        <w:t>"Le PAGOF est devenu presque le seul programme structurant qui soutient l’ouverture des données publiques en Tunisie." (Représentant d'OSC tunisienne).</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Lors des tensions diplomatiques (Maroc/Sénégal), le projet a su adapter sa communication av</w:t>
      </w:r>
      <w:r>
        <w:rPr>
          <w:rFonts w:ascii="Calibri" w:eastAsia="Calibri" w:hAnsi="Calibri" w:cs="Calibri"/>
          <w:color w:val="000000"/>
          <w:sz w:val="24"/>
          <w:szCs w:val="24"/>
        </w:rPr>
        <w:t>ec le soutien de l'AFD. À l'inverse, au Burkina Faso, le principe de cohérence avec les valeurs démocratiques a conduit à une décision de retrait nécessaire après le coup d'État de 2022, les conditions minimales de dialogue civil n'étant plus réunies.</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Cohérence régionale et échanges Sud-Sud</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La dimension régionale a transformé les pratiques locales en modèles réplicables :</w:t>
      </w:r>
    </w:p>
    <w:p w:rsidR="00B75C03" w:rsidRDefault="0075606E">
      <w:pPr>
        <w:numPr>
          <w:ilvl w:val="0"/>
          <w:numId w:val="16"/>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Modules e-learning :</w:t>
      </w:r>
      <w:r>
        <w:rPr>
          <w:rFonts w:ascii="Calibri" w:eastAsia="Calibri" w:hAnsi="Calibri" w:cs="Calibri"/>
          <w:color w:val="000000"/>
          <w:sz w:val="24"/>
          <w:szCs w:val="24"/>
        </w:rPr>
        <w:t xml:space="preserve"> Mutualisation des ressources entre les ENA de Côte d’Ivoire, du Sénégal et de Tunisie.</w:t>
      </w:r>
    </w:p>
    <w:p w:rsidR="00B75C03" w:rsidRDefault="0075606E">
      <w:pPr>
        <w:numPr>
          <w:ilvl w:val="0"/>
          <w:numId w:val="16"/>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Visites d'échange :</w:t>
      </w:r>
      <w:r>
        <w:rPr>
          <w:rFonts w:ascii="Calibri" w:eastAsia="Calibri" w:hAnsi="Calibri" w:cs="Calibri"/>
          <w:color w:val="000000"/>
          <w:sz w:val="24"/>
          <w:szCs w:val="24"/>
        </w:rPr>
        <w:t xml:space="preserve"> Le Maroc a accueilli une délégation parlementaire ivoirienne en 2024 pour partager ses outils de numérisation des archives.</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Indicateurs de cohérence régionale (04/05/2025) :</w:t>
      </w:r>
    </w:p>
    <w:p w:rsidR="00B75C03" w:rsidRDefault="0075606E">
      <w:pPr>
        <w:numPr>
          <w:ilvl w:val="0"/>
          <w:numId w:val="17"/>
        </w:numPr>
        <w:pBdr>
          <w:top w:val="nil"/>
          <w:left w:val="nil"/>
          <w:bottom w:val="nil"/>
          <w:right w:val="nil"/>
          <w:between w:val="nil"/>
        </w:pBdr>
        <w:spacing w:before="40" w:after="40" w:line="240" w:lineRule="auto"/>
        <w:jc w:val="both"/>
        <w:rPr>
          <w:color w:val="000000"/>
        </w:rPr>
      </w:pPr>
      <w:r>
        <w:rPr>
          <w:rFonts w:ascii="Calibri" w:eastAsia="Calibri" w:hAnsi="Calibri" w:cs="Calibri"/>
          <w:color w:val="000000"/>
          <w:sz w:val="24"/>
          <w:szCs w:val="24"/>
        </w:rPr>
        <w:t>Séminaires régionaux organisés : 2 (Cible 2).</w:t>
      </w:r>
    </w:p>
    <w:p w:rsidR="00B75C03" w:rsidRDefault="0075606E">
      <w:pPr>
        <w:numPr>
          <w:ilvl w:val="0"/>
          <w:numId w:val="17"/>
        </w:numPr>
        <w:pBdr>
          <w:top w:val="nil"/>
          <w:left w:val="nil"/>
          <w:bottom w:val="nil"/>
          <w:right w:val="nil"/>
          <w:between w:val="nil"/>
        </w:pBdr>
        <w:spacing w:before="40" w:after="40" w:line="240" w:lineRule="auto"/>
        <w:jc w:val="both"/>
        <w:rPr>
          <w:color w:val="000000"/>
        </w:rPr>
      </w:pPr>
      <w:r>
        <w:rPr>
          <w:rFonts w:ascii="Calibri" w:eastAsia="Calibri" w:hAnsi="Calibri" w:cs="Calibri"/>
          <w:color w:val="000000"/>
          <w:sz w:val="24"/>
          <w:szCs w:val="24"/>
        </w:rPr>
        <w:t>Visites d'échange réalisées : 4 (C</w:t>
      </w:r>
      <w:r>
        <w:rPr>
          <w:rFonts w:ascii="Calibri" w:eastAsia="Calibri" w:hAnsi="Calibri" w:cs="Calibri"/>
          <w:color w:val="000000"/>
          <w:sz w:val="24"/>
          <w:szCs w:val="24"/>
        </w:rPr>
        <w:t>ible 3).</w:t>
      </w:r>
    </w:p>
    <w:p w:rsidR="00B75C03" w:rsidRDefault="0075606E">
      <w:pPr>
        <w:numPr>
          <w:ilvl w:val="0"/>
          <w:numId w:val="17"/>
        </w:numPr>
        <w:pBdr>
          <w:top w:val="nil"/>
          <w:left w:val="nil"/>
          <w:bottom w:val="nil"/>
          <w:right w:val="nil"/>
          <w:between w:val="nil"/>
        </w:pBdr>
        <w:spacing w:before="40" w:after="40" w:line="240" w:lineRule="auto"/>
        <w:jc w:val="both"/>
        <w:rPr>
          <w:color w:val="000000"/>
        </w:rPr>
      </w:pPr>
      <w:r>
        <w:rPr>
          <w:rFonts w:ascii="Calibri" w:eastAsia="Calibri" w:hAnsi="Calibri" w:cs="Calibri"/>
          <w:color w:val="000000"/>
          <w:sz w:val="24"/>
          <w:szCs w:val="24"/>
        </w:rPr>
        <w:t>Modules e-learning créés par les ENA : 4 (Cible 4).</w:t>
      </w:r>
    </w:p>
    <w:p w:rsidR="00B75C03" w:rsidRDefault="0075606E">
      <w:pPr>
        <w:numPr>
          <w:ilvl w:val="0"/>
          <w:numId w:val="17"/>
        </w:numPr>
        <w:pBdr>
          <w:top w:val="nil"/>
          <w:left w:val="nil"/>
          <w:bottom w:val="nil"/>
          <w:right w:val="nil"/>
          <w:between w:val="nil"/>
        </w:pBdr>
        <w:spacing w:before="40" w:after="40" w:line="240" w:lineRule="auto"/>
        <w:jc w:val="both"/>
        <w:rPr>
          <w:color w:val="000000"/>
        </w:rPr>
      </w:pPr>
      <w:r>
        <w:rPr>
          <w:rFonts w:ascii="Calibri" w:eastAsia="Calibri" w:hAnsi="Calibri" w:cs="Calibri"/>
          <w:color w:val="000000"/>
          <w:sz w:val="24"/>
          <w:szCs w:val="24"/>
        </w:rPr>
        <w:t>Nombre d'universités/écoles touchées : 3 (Cible 3).</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1"/>
          <w:numId w:val="1"/>
        </w:numPr>
        <w:pBdr>
          <w:top w:val="nil"/>
          <w:left w:val="nil"/>
          <w:bottom w:val="nil"/>
          <w:right w:val="nil"/>
          <w:between w:val="nil"/>
        </w:pBdr>
        <w:tabs>
          <w:tab w:val="left" w:pos="0"/>
        </w:tabs>
        <w:spacing w:before="160" w:after="80"/>
        <w:jc w:val="both"/>
        <w:rPr>
          <w:rFonts w:ascii="Play" w:eastAsia="Play" w:hAnsi="Play" w:cs="Play"/>
          <w:color w:val="0F4761"/>
          <w:sz w:val="32"/>
          <w:szCs w:val="32"/>
        </w:rPr>
      </w:pPr>
      <w:r>
        <w:rPr>
          <w:rFonts w:ascii="Play" w:eastAsia="Play" w:hAnsi="Play" w:cs="Play"/>
          <w:color w:val="0F4761"/>
          <w:sz w:val="32"/>
          <w:szCs w:val="32"/>
        </w:rPr>
        <w:t>4. Analyse de l'Efficacité</w:t>
      </w:r>
    </w:p>
    <w:p w:rsidR="00B75C03" w:rsidRDefault="00B75C03">
      <w:pPr>
        <w:pBdr>
          <w:top w:val="nil"/>
          <w:left w:val="nil"/>
          <w:bottom w:val="nil"/>
          <w:right w:val="nil"/>
          <w:between w:val="nil"/>
        </w:pBdr>
        <w:spacing w:before="40" w:after="40" w:line="240" w:lineRule="auto"/>
        <w:jc w:val="both"/>
        <w:rPr>
          <w:rFonts w:ascii="Calibri" w:eastAsia="Calibri" w:hAnsi="Calibri" w:cs="Calibri"/>
          <w:color w:val="000000"/>
          <w:sz w:val="24"/>
          <w:szCs w:val="24"/>
        </w:rPr>
      </w:pP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L'efficacité du PAGOF2 est prouvée par un dépassement systématique des cibles quantitatives et par des transformations institutionnelles qui ancrent le Gouvernement Ouvert dans l'État de droit.</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Analyse de performance quantitative</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Le projet a généré un vol</w:t>
      </w:r>
      <w:r>
        <w:rPr>
          <w:rFonts w:ascii="Calibri" w:eastAsia="Calibri" w:hAnsi="Calibri" w:cs="Calibri"/>
          <w:color w:val="000000"/>
          <w:sz w:val="24"/>
          <w:szCs w:val="24"/>
        </w:rPr>
        <w:t>ume d'extrants largement supérieur aux prévisions initiales :</w:t>
      </w:r>
    </w:p>
    <w:p w:rsidR="00B75C03" w:rsidRDefault="0075606E">
      <w:pPr>
        <w:numPr>
          <w:ilvl w:val="0"/>
          <w:numId w:val="18"/>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Acteurs touchés :</w:t>
      </w:r>
      <w:r>
        <w:rPr>
          <w:rFonts w:ascii="Calibri" w:eastAsia="Calibri" w:hAnsi="Calibri" w:cs="Calibri"/>
          <w:color w:val="000000"/>
          <w:sz w:val="24"/>
          <w:szCs w:val="24"/>
        </w:rPr>
        <w:t xml:space="preserve"> 1 395 (Cible : 800).</w:t>
      </w:r>
    </w:p>
    <w:p w:rsidR="00B75C03" w:rsidRDefault="0075606E">
      <w:pPr>
        <w:numPr>
          <w:ilvl w:val="0"/>
          <w:numId w:val="18"/>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Formations réalisées :</w:t>
      </w:r>
      <w:r>
        <w:rPr>
          <w:rFonts w:ascii="Calibri" w:eastAsia="Calibri" w:hAnsi="Calibri" w:cs="Calibri"/>
          <w:color w:val="000000"/>
          <w:sz w:val="24"/>
          <w:szCs w:val="24"/>
        </w:rPr>
        <w:t xml:space="preserve"> 108 (Cible : 40).</w:t>
      </w:r>
    </w:p>
    <w:p w:rsidR="00B75C03" w:rsidRDefault="0075606E">
      <w:pPr>
        <w:numPr>
          <w:ilvl w:val="0"/>
          <w:numId w:val="18"/>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Événements organisés :</w:t>
      </w:r>
      <w:r>
        <w:rPr>
          <w:rFonts w:ascii="Calibri" w:eastAsia="Calibri" w:hAnsi="Calibri" w:cs="Calibri"/>
          <w:color w:val="000000"/>
          <w:sz w:val="24"/>
          <w:szCs w:val="24"/>
        </w:rPr>
        <w:t xml:space="preserve"> 93 (Cible : 20).</w:t>
      </w:r>
    </w:p>
    <w:p w:rsidR="00B75C03" w:rsidRDefault="0075606E">
      <w:pPr>
        <w:numPr>
          <w:ilvl w:val="0"/>
          <w:numId w:val="18"/>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Taux d'exécution moyen des engagements PAN :</w:t>
      </w:r>
      <w:r>
        <w:rPr>
          <w:rFonts w:ascii="Calibri" w:eastAsia="Calibri" w:hAnsi="Calibri" w:cs="Calibri"/>
          <w:color w:val="000000"/>
          <w:sz w:val="24"/>
          <w:szCs w:val="24"/>
        </w:rPr>
        <w:t xml:space="preserve"> 73%.</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Application du modèle COM-B (Capacité, Opportunité, Motivation)</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L'évaluation utilise le modèle COM-B pour analyser les leviers de changement :</w:t>
      </w:r>
    </w:p>
    <w:p w:rsidR="00B75C03" w:rsidRDefault="0075606E">
      <w:pPr>
        <w:numPr>
          <w:ilvl w:val="0"/>
          <w:numId w:val="19"/>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Capacités (C) :</w:t>
      </w:r>
      <w:r>
        <w:rPr>
          <w:rFonts w:ascii="Calibri" w:eastAsia="Calibri" w:hAnsi="Calibri" w:cs="Calibri"/>
          <w:color w:val="000000"/>
          <w:sz w:val="24"/>
          <w:szCs w:val="24"/>
        </w:rPr>
        <w:t xml:space="preserve"> Le projet a formé 2 740 personnes (1 920 hommes, 820 femmes). L'intégration de modules e-learning dans les cursus initiaux des ENA pérennise ces </w:t>
      </w:r>
      <w:r>
        <w:rPr>
          <w:rFonts w:ascii="Calibri" w:eastAsia="Calibri" w:hAnsi="Calibri" w:cs="Calibri"/>
          <w:color w:val="000000"/>
          <w:sz w:val="24"/>
          <w:szCs w:val="24"/>
        </w:rPr>
        <w:lastRenderedPageBreak/>
        <w:t>compétences. Au Sénégal, un module sur la "transparence dans l'action publique" est désormais obligatoire.</w:t>
      </w:r>
    </w:p>
    <w:p w:rsidR="00B75C03" w:rsidRDefault="0075606E">
      <w:pPr>
        <w:numPr>
          <w:ilvl w:val="0"/>
          <w:numId w:val="19"/>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Opp</w:t>
      </w:r>
      <w:r>
        <w:rPr>
          <w:rFonts w:ascii="Calibri" w:eastAsia="Calibri" w:hAnsi="Calibri" w:cs="Calibri"/>
          <w:b/>
          <w:bCs/>
          <w:color w:val="000000"/>
          <w:sz w:val="24"/>
          <w:szCs w:val="24"/>
        </w:rPr>
        <w:t>ortunités (O) :</w:t>
      </w:r>
      <w:r>
        <w:rPr>
          <w:rFonts w:ascii="Calibri" w:eastAsia="Calibri" w:hAnsi="Calibri" w:cs="Calibri"/>
          <w:color w:val="000000"/>
          <w:sz w:val="24"/>
          <w:szCs w:val="24"/>
        </w:rPr>
        <w:t xml:space="preserve"> En impliquant 110 OSC et 49 administrations locales, le projet a créé des espaces de dialogue inédits. Le "PGO Local" à Dakar et Yoff a institutionnalisé la participation citoyenne via l'application « Sunu Gox ». Le MoU signé entre la HABG </w:t>
      </w:r>
      <w:r>
        <w:rPr>
          <w:rFonts w:ascii="Calibri" w:eastAsia="Calibri" w:hAnsi="Calibri" w:cs="Calibri"/>
          <w:color w:val="000000"/>
          <w:sz w:val="24"/>
          <w:szCs w:val="24"/>
        </w:rPr>
        <w:t>(CI) et l'AFA (France) en 2024 illustre une opportunité de partenariat technique transfrontalier.</w:t>
      </w:r>
    </w:p>
    <w:p w:rsidR="00B75C03" w:rsidRDefault="0075606E">
      <w:pPr>
        <w:numPr>
          <w:ilvl w:val="0"/>
          <w:numId w:val="19"/>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Motivations (M) :</w:t>
      </w:r>
      <w:r>
        <w:rPr>
          <w:rFonts w:ascii="Calibri" w:eastAsia="Calibri" w:hAnsi="Calibri" w:cs="Calibri"/>
          <w:color w:val="000000"/>
          <w:sz w:val="24"/>
          <w:szCs w:val="24"/>
        </w:rPr>
        <w:t xml:space="preserve"> La visibilité internationale lors des Assises de Rabat (2026) a galvanisé l'engagement politique. </w:t>
      </w:r>
      <w:r>
        <w:rPr>
          <w:rFonts w:ascii="Calibri" w:eastAsia="Calibri" w:hAnsi="Calibri" w:cs="Calibri"/>
          <w:b/>
          <w:bCs/>
          <w:color w:val="000000"/>
          <w:sz w:val="24"/>
          <w:szCs w:val="24"/>
        </w:rPr>
        <w:t>Nawal Oulkadi</w:t>
      </w:r>
      <w:r>
        <w:rPr>
          <w:rFonts w:ascii="Calibri" w:eastAsia="Calibri" w:hAnsi="Calibri" w:cs="Calibri"/>
          <w:color w:val="000000"/>
          <w:sz w:val="24"/>
          <w:szCs w:val="24"/>
        </w:rPr>
        <w:t xml:space="preserve"> (élue, Azrou) souligne ce ba</w:t>
      </w:r>
      <w:r>
        <w:rPr>
          <w:rFonts w:ascii="Calibri" w:eastAsia="Calibri" w:hAnsi="Calibri" w:cs="Calibri"/>
          <w:color w:val="000000"/>
          <w:sz w:val="24"/>
          <w:szCs w:val="24"/>
        </w:rPr>
        <w:t xml:space="preserve">sculement : </w:t>
      </w:r>
      <w:r>
        <w:rPr>
          <w:rFonts w:ascii="Calibri" w:eastAsia="Calibri" w:hAnsi="Calibri" w:cs="Calibri"/>
          <w:i/>
          <w:iCs/>
          <w:color w:val="000000"/>
          <w:sz w:val="24"/>
          <w:szCs w:val="24"/>
        </w:rPr>
        <w:t>« Avant le projet, les parties prenantes étaient largement non adhérentes. Après avoir vu les résultats, les communautés, les OSC et les acteurs politiques sont devenus visiblement motivés. »</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Atteinte des objectifs stratégiques (au 4 mai 2025)</w:t>
      </w:r>
    </w:p>
    <w:p w:rsidR="00B75C03" w:rsidRDefault="0075606E">
      <w:pPr>
        <w:numPr>
          <w:ilvl w:val="0"/>
          <w:numId w:val="20"/>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Objectifs Généraux (OG) :</w:t>
      </w:r>
      <w:r>
        <w:rPr>
          <w:rFonts w:ascii="Calibri" w:eastAsia="Calibri" w:hAnsi="Calibri" w:cs="Calibri"/>
          <w:color w:val="000000"/>
          <w:sz w:val="24"/>
          <w:szCs w:val="24"/>
        </w:rPr>
        <w:t xml:space="preserve"> 40% de réussite (6/15 indicateurs). La réussite est forte sur la mobilisation (66%) mais plus lente sur la valorisation régionale (16%).</w:t>
      </w:r>
    </w:p>
    <w:p w:rsidR="00B75C03" w:rsidRDefault="0075606E">
      <w:pPr>
        <w:numPr>
          <w:ilvl w:val="0"/>
          <w:numId w:val="20"/>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Objectifs Spécifiques (OS) :</w:t>
      </w:r>
      <w:r>
        <w:rPr>
          <w:rFonts w:ascii="Calibri" w:eastAsia="Calibri" w:hAnsi="Calibri" w:cs="Calibri"/>
          <w:color w:val="000000"/>
          <w:sz w:val="24"/>
          <w:szCs w:val="24"/>
        </w:rPr>
        <w:t xml:space="preserve"> 41,7% de réussite (5/12 indicateurs). L'OS1 (Gouvernance locale) affiche 57% de réussite.</w:t>
      </w:r>
    </w:p>
    <w:p w:rsidR="00B75C03" w:rsidRDefault="0075606E">
      <w:pPr>
        <w:numPr>
          <w:ilvl w:val="0"/>
          <w:numId w:val="20"/>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Niveau Opérationnel :</w:t>
      </w:r>
      <w:r>
        <w:rPr>
          <w:rFonts w:ascii="Calibri" w:eastAsia="Calibri" w:hAnsi="Calibri" w:cs="Calibri"/>
          <w:color w:val="000000"/>
          <w:sz w:val="24"/>
          <w:szCs w:val="24"/>
        </w:rPr>
        <w:t xml:space="preserve"> 57,5% de réussite globale (23/40 cibles). Les volets "Sensibilisation" et "Appui Local" atteignent </w:t>
      </w:r>
      <w:r>
        <w:rPr>
          <w:rFonts w:ascii="Calibri" w:eastAsia="Calibri" w:hAnsi="Calibri" w:cs="Calibri"/>
          <w:b/>
          <w:bCs/>
          <w:color w:val="000000"/>
          <w:sz w:val="24"/>
          <w:szCs w:val="24"/>
        </w:rPr>
        <w:t>100%</w:t>
      </w:r>
      <w:r>
        <w:rPr>
          <w:rFonts w:ascii="Calibri" w:eastAsia="Calibri" w:hAnsi="Calibri" w:cs="Calibri"/>
          <w:color w:val="000000"/>
          <w:sz w:val="24"/>
          <w:szCs w:val="24"/>
        </w:rPr>
        <w:t>.</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Transformations institutionnelles maj</w:t>
      </w:r>
      <w:r>
        <w:rPr>
          <w:color w:val="0F4761"/>
          <w:sz w:val="28"/>
          <w:szCs w:val="28"/>
        </w:rPr>
        <w:t>eures</w:t>
      </w:r>
    </w:p>
    <w:p w:rsidR="00B75C03" w:rsidRDefault="0075606E">
      <w:pPr>
        <w:numPr>
          <w:ilvl w:val="0"/>
          <w:numId w:val="2"/>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Sénégal :</w:t>
      </w:r>
      <w:r>
        <w:rPr>
          <w:rFonts w:ascii="Calibri" w:eastAsia="Calibri" w:hAnsi="Calibri" w:cs="Calibri"/>
          <w:color w:val="000000"/>
          <w:sz w:val="24"/>
          <w:szCs w:val="24"/>
        </w:rPr>
        <w:t xml:space="preserve"> Adoption en septembre 2025 de 4 lois sur l'accès à l'information, la protection des lanceurs d'alerte, la déclaration de patrimoine et la réforme de l'OFNAC.</w:t>
      </w:r>
    </w:p>
    <w:p w:rsidR="00B75C03" w:rsidRDefault="0075606E">
      <w:pPr>
        <w:numPr>
          <w:ilvl w:val="0"/>
          <w:numId w:val="2"/>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Tunisie :</w:t>
      </w:r>
      <w:r>
        <w:rPr>
          <w:rFonts w:ascii="Calibri" w:eastAsia="Calibri" w:hAnsi="Calibri" w:cs="Calibri"/>
          <w:color w:val="000000"/>
          <w:sz w:val="24"/>
          <w:szCs w:val="24"/>
        </w:rPr>
        <w:t xml:space="preserve"> Publication de la Circulaire n°4 (21/02/2024) structurant officiellement l'ouverture des données publiques.</w:t>
      </w:r>
    </w:p>
    <w:p w:rsidR="00B75C03" w:rsidRDefault="0075606E">
      <w:pPr>
        <w:numPr>
          <w:ilvl w:val="0"/>
          <w:numId w:val="2"/>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Côte d’Ivoire :</w:t>
      </w:r>
      <w:r>
        <w:rPr>
          <w:rFonts w:ascii="Calibri" w:eastAsia="Calibri" w:hAnsi="Calibri" w:cs="Calibri"/>
          <w:color w:val="000000"/>
          <w:sz w:val="24"/>
          <w:szCs w:val="24"/>
        </w:rPr>
        <w:t xml:space="preserve"> Validation du Plan d’Action Parlementaire 2025, institutionnalisant la participation citoyenne à l'Assemblée Nationale.</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1"/>
          <w:numId w:val="1"/>
        </w:numPr>
        <w:pBdr>
          <w:top w:val="nil"/>
          <w:left w:val="nil"/>
          <w:bottom w:val="nil"/>
          <w:right w:val="nil"/>
          <w:between w:val="nil"/>
        </w:pBdr>
        <w:tabs>
          <w:tab w:val="left" w:pos="0"/>
        </w:tabs>
        <w:spacing w:before="160" w:after="80"/>
        <w:jc w:val="both"/>
        <w:rPr>
          <w:rFonts w:ascii="Play" w:eastAsia="Play" w:hAnsi="Play" w:cs="Play"/>
          <w:color w:val="0F4761"/>
          <w:sz w:val="32"/>
          <w:szCs w:val="32"/>
        </w:rPr>
      </w:pPr>
      <w:r>
        <w:rPr>
          <w:rFonts w:ascii="Play" w:eastAsia="Play" w:hAnsi="Play" w:cs="Play"/>
          <w:color w:val="0F4761"/>
          <w:sz w:val="32"/>
          <w:szCs w:val="32"/>
        </w:rPr>
        <w:t>5. Analyse de l'Efficience et dispositif opérationnel</w:t>
      </w:r>
    </w:p>
    <w:p w:rsidR="00B75C03" w:rsidRDefault="00B75C03">
      <w:pPr>
        <w:pBdr>
          <w:top w:val="nil"/>
          <w:left w:val="nil"/>
          <w:bottom w:val="nil"/>
          <w:right w:val="nil"/>
          <w:between w:val="nil"/>
        </w:pBdr>
        <w:spacing w:before="40" w:after="40" w:line="240" w:lineRule="auto"/>
        <w:jc w:val="both"/>
        <w:rPr>
          <w:rFonts w:ascii="Calibri" w:eastAsia="Calibri" w:hAnsi="Calibri" w:cs="Calibri"/>
          <w:color w:val="000000"/>
          <w:sz w:val="24"/>
          <w:szCs w:val="24"/>
        </w:rPr>
      </w:pP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L'efficience repose sur un modèle d'expertise nationale agile, bien que bridé par des rigidités procédurales propres aux agences de mise en œuvre.</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Allocation budgétaire et focus pays</w:t>
      </w:r>
    </w:p>
    <w:tbl>
      <w:tblPr>
        <w:tblStyle w:val="a1"/>
        <w:tblW w:w="9072"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5"/>
        <w:gridCol w:w="2373"/>
        <w:gridCol w:w="4734"/>
      </w:tblGrid>
      <w:tr w:rsidR="00B75C03">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Pays / Volet</w:t>
            </w:r>
          </w:p>
        </w:tc>
        <w:tc>
          <w:tcPr>
            <w:tcW w:w="2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Budget Alloué (€)</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Focus Principal</w:t>
            </w:r>
          </w:p>
        </w:tc>
      </w:tr>
      <w:tr w:rsidR="00B75C03">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Côte d'Ivoire</w:t>
            </w:r>
          </w:p>
        </w:tc>
        <w:tc>
          <w:tcPr>
            <w:tcW w:w="2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387 100</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Parlement ouvert, Lutte corruption</w:t>
            </w:r>
          </w:p>
        </w:tc>
      </w:tr>
      <w:tr w:rsidR="00B75C03">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lastRenderedPageBreak/>
              <w:t>Sénégal</w:t>
            </w:r>
          </w:p>
        </w:tc>
        <w:tc>
          <w:tcPr>
            <w:tcW w:w="2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336 200</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Lois transparence, PGO Local</w:t>
            </w:r>
          </w:p>
        </w:tc>
      </w:tr>
      <w:tr w:rsidR="00B75C03">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Tunisie</w:t>
            </w:r>
          </w:p>
        </w:tc>
        <w:tc>
          <w:tcPr>
            <w:tcW w:w="2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271 350</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Open Data, Stratégie nationale</w:t>
            </w:r>
          </w:p>
        </w:tc>
      </w:tr>
      <w:tr w:rsidR="00B75C03">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Volet Régional</w:t>
            </w:r>
          </w:p>
        </w:tc>
        <w:tc>
          <w:tcPr>
            <w:tcW w:w="2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399 500</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Échanges Sud-Sud, RAFGO</w:t>
            </w:r>
          </w:p>
        </w:tc>
      </w:tr>
    </w:tbl>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Les Coordinateurs nationaux : "hommes et femmes orchestres"</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La mobilisation de coordinateurs nationaux experts a permis une animation au plus proche du terrain. Ces pivots ont géré la complexité administrative avec autonomie, bien que leur isolement relati</w:t>
      </w:r>
      <w:r>
        <w:rPr>
          <w:rFonts w:ascii="Calibri" w:eastAsia="Calibri" w:hAnsi="Calibri" w:cs="Calibri"/>
          <w:color w:val="000000"/>
          <w:sz w:val="24"/>
          <w:szCs w:val="24"/>
        </w:rPr>
        <w:t>f vis-à-vis des ambassades de France ait parfois limité le "tuilage" politique. La coordination régionale a parfois manqué de régularité lors des pics de charge programmatique.</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Le Modèle "expertise nationale d'abord"</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C'est le succès majeur du PAGOF2. En p</w:t>
      </w:r>
      <w:r>
        <w:rPr>
          <w:rFonts w:ascii="Calibri" w:eastAsia="Calibri" w:hAnsi="Calibri" w:cs="Calibri"/>
          <w:color w:val="000000"/>
          <w:sz w:val="24"/>
          <w:szCs w:val="24"/>
        </w:rPr>
        <w:t>rivilégiant les consultants locaux :</w:t>
      </w:r>
    </w:p>
    <w:p w:rsidR="00B75C03" w:rsidRDefault="0075606E">
      <w:pPr>
        <w:numPr>
          <w:ilvl w:val="0"/>
          <w:numId w:val="3"/>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Maroc :</w:t>
      </w:r>
      <w:r>
        <w:rPr>
          <w:rFonts w:ascii="Calibri" w:eastAsia="Calibri" w:hAnsi="Calibri" w:cs="Calibri"/>
          <w:color w:val="000000"/>
          <w:sz w:val="24"/>
          <w:szCs w:val="24"/>
        </w:rPr>
        <w:t xml:space="preserve"> L'expert au Ministère de la Justice a utilisé sa maîtrise de la culture administrative pour faire accepter la digitalisation des services judiciaires.</w:t>
      </w:r>
    </w:p>
    <w:p w:rsidR="00B75C03" w:rsidRDefault="0075606E">
      <w:pPr>
        <w:numPr>
          <w:ilvl w:val="0"/>
          <w:numId w:val="3"/>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Tunisie :</w:t>
      </w:r>
      <w:r>
        <w:rPr>
          <w:rFonts w:ascii="Calibri" w:eastAsia="Calibri" w:hAnsi="Calibri" w:cs="Calibri"/>
          <w:color w:val="000000"/>
          <w:sz w:val="24"/>
          <w:szCs w:val="24"/>
        </w:rPr>
        <w:t xml:space="preserve"> Des experts nationaux ont maintenu l'agenda Open D</w:t>
      </w:r>
      <w:r>
        <w:rPr>
          <w:rFonts w:ascii="Calibri" w:eastAsia="Calibri" w:hAnsi="Calibri" w:cs="Calibri"/>
          <w:color w:val="000000"/>
          <w:sz w:val="24"/>
          <w:szCs w:val="24"/>
        </w:rPr>
        <w:t>ata vivant malgré l'instabilité, minimisant les coûts de "transaction culturelle".</w:t>
      </w:r>
    </w:p>
    <w:p w:rsidR="00B75C03" w:rsidRDefault="0075606E">
      <w:pPr>
        <w:numPr>
          <w:ilvl w:val="0"/>
          <w:numId w:val="3"/>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Sénégal :</w:t>
      </w:r>
      <w:r>
        <w:rPr>
          <w:rFonts w:ascii="Calibri" w:eastAsia="Calibri" w:hAnsi="Calibri" w:cs="Calibri"/>
          <w:color w:val="000000"/>
          <w:sz w:val="24"/>
          <w:szCs w:val="24"/>
        </w:rPr>
        <w:t xml:space="preserve"> Le recours aux OSC locales pour l'animation territoriale a permis un ciblage des ressources bien plus fin qu'une expertise internationale.</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Obstacles procéduraux et impacts terrain</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Des rigidités administratives ont pénalisé l'efficience opérationnelle :</w:t>
      </w:r>
    </w:p>
    <w:p w:rsidR="00B75C03" w:rsidRDefault="0075606E">
      <w:pPr>
        <w:numPr>
          <w:ilvl w:val="0"/>
          <w:numId w:val="4"/>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Délais de décaissement :</w:t>
      </w:r>
      <w:r>
        <w:rPr>
          <w:rFonts w:ascii="Calibri" w:eastAsia="Calibri" w:hAnsi="Calibri" w:cs="Calibri"/>
          <w:color w:val="000000"/>
          <w:sz w:val="24"/>
          <w:szCs w:val="24"/>
        </w:rPr>
        <w:t xml:space="preserve"> Au Maroc, seulement 10% des subventions aux OSC ont été versées en 14 mois (juin 2024 - août 2025).</w:t>
      </w:r>
    </w:p>
    <w:p w:rsidR="00B75C03" w:rsidRDefault="0075606E">
      <w:pPr>
        <w:numPr>
          <w:ilvl w:val="0"/>
          <w:numId w:val="4"/>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Conséquences conc</w:t>
      </w:r>
      <w:r>
        <w:rPr>
          <w:rFonts w:ascii="Calibri" w:eastAsia="Calibri" w:hAnsi="Calibri" w:cs="Calibri"/>
          <w:b/>
          <w:bCs/>
          <w:color w:val="000000"/>
          <w:sz w:val="24"/>
          <w:szCs w:val="24"/>
        </w:rPr>
        <w:t>rètes :</w:t>
      </w:r>
      <w:r>
        <w:rPr>
          <w:rFonts w:ascii="Calibri" w:eastAsia="Calibri" w:hAnsi="Calibri" w:cs="Calibri"/>
          <w:color w:val="000000"/>
          <w:sz w:val="24"/>
          <w:szCs w:val="24"/>
        </w:rPr>
        <w:t xml:space="preserve"> À Azrou, ce retard a reporté des travaux extérieurs en plein hiver, les rendant irréalisables.</w:t>
      </w:r>
    </w:p>
    <w:p w:rsidR="00B75C03" w:rsidRDefault="0075606E">
      <w:pPr>
        <w:numPr>
          <w:ilvl w:val="0"/>
          <w:numId w:val="4"/>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Bénin :</w:t>
      </w:r>
      <w:r>
        <w:rPr>
          <w:rFonts w:ascii="Calibri" w:eastAsia="Calibri" w:hAnsi="Calibri" w:cs="Calibri"/>
          <w:color w:val="000000"/>
          <w:sz w:val="24"/>
          <w:szCs w:val="24"/>
        </w:rPr>
        <w:t xml:space="preserve"> La suspension des activités durant la période électorale 2026, décidée par la diplomatie, a été vécue comme une "opportunité manquée" par les partenaires locaux.</w:t>
      </w:r>
    </w:p>
    <w:p w:rsidR="00B75C03" w:rsidRDefault="0075606E">
      <w:pPr>
        <w:numPr>
          <w:ilvl w:val="0"/>
          <w:numId w:val="4"/>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Tunisie :</w:t>
      </w:r>
      <w:r>
        <w:rPr>
          <w:rFonts w:ascii="Calibri" w:eastAsia="Calibri" w:hAnsi="Calibri" w:cs="Calibri"/>
          <w:color w:val="000000"/>
          <w:sz w:val="24"/>
          <w:szCs w:val="24"/>
        </w:rPr>
        <w:t xml:space="preserve"> Les validations "par voie diplomatique" ont ralenti la fluidité du projet, chaque a</w:t>
      </w:r>
      <w:r>
        <w:rPr>
          <w:rFonts w:ascii="Calibri" w:eastAsia="Calibri" w:hAnsi="Calibri" w:cs="Calibri"/>
          <w:color w:val="000000"/>
          <w:sz w:val="24"/>
          <w:szCs w:val="24"/>
        </w:rPr>
        <w:t>ctivité nécessitant des échanges épistolaires complexes.</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1"/>
          <w:numId w:val="1"/>
        </w:numPr>
        <w:pBdr>
          <w:top w:val="nil"/>
          <w:left w:val="nil"/>
          <w:bottom w:val="nil"/>
          <w:right w:val="nil"/>
          <w:between w:val="nil"/>
        </w:pBdr>
        <w:tabs>
          <w:tab w:val="left" w:pos="0"/>
        </w:tabs>
        <w:spacing w:before="160" w:after="80"/>
        <w:jc w:val="both"/>
        <w:rPr>
          <w:rFonts w:ascii="Play" w:eastAsia="Play" w:hAnsi="Play" w:cs="Play"/>
          <w:color w:val="0F4761"/>
          <w:sz w:val="32"/>
          <w:szCs w:val="32"/>
        </w:rPr>
      </w:pPr>
      <w:r>
        <w:rPr>
          <w:rFonts w:ascii="Play" w:eastAsia="Play" w:hAnsi="Play" w:cs="Play"/>
          <w:color w:val="0F4761"/>
          <w:sz w:val="32"/>
          <w:szCs w:val="32"/>
        </w:rPr>
        <w:t>6. Analyse de l'impact et récits de changement</w:t>
      </w:r>
    </w:p>
    <w:p w:rsidR="00B75C03" w:rsidRDefault="00B75C03">
      <w:pPr>
        <w:pBdr>
          <w:top w:val="nil"/>
          <w:left w:val="nil"/>
          <w:bottom w:val="nil"/>
          <w:right w:val="nil"/>
          <w:between w:val="nil"/>
        </w:pBdr>
        <w:spacing w:before="40" w:after="40" w:line="240" w:lineRule="auto"/>
        <w:jc w:val="both"/>
        <w:rPr>
          <w:rFonts w:ascii="Calibri" w:eastAsia="Calibri" w:hAnsi="Calibri" w:cs="Calibri"/>
          <w:color w:val="000000"/>
          <w:sz w:val="24"/>
          <w:szCs w:val="24"/>
        </w:rPr>
      </w:pP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L'impact du PAGOF2 se mesure à sa capacité à transformer le contrat social par l'émergence d'un écosystème d'État Ouvert.</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lastRenderedPageBreak/>
        <w:t>Vers "l'État Ouvert" : transformations de fond</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Le projet a réussi à sortir le GO du seul giron de l'exécutif :</w:t>
      </w:r>
    </w:p>
    <w:p w:rsidR="00B75C03" w:rsidRDefault="0075606E">
      <w:pPr>
        <w:numPr>
          <w:ilvl w:val="0"/>
          <w:numId w:val="5"/>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Impact législatif (Sénégal) :</w:t>
      </w:r>
      <w:r>
        <w:rPr>
          <w:rFonts w:ascii="Calibri" w:eastAsia="Calibri" w:hAnsi="Calibri" w:cs="Calibri"/>
          <w:color w:val="000000"/>
          <w:sz w:val="24"/>
          <w:szCs w:val="24"/>
        </w:rPr>
        <w:t xml:space="preserve"> L'adoption simultanée de quatre lois en 2025 crée un cadre permanent qui protège les réformes contre les alternances politiques.</w:t>
      </w:r>
    </w:p>
    <w:p w:rsidR="00B75C03" w:rsidRDefault="0075606E">
      <w:pPr>
        <w:numPr>
          <w:ilvl w:val="0"/>
          <w:numId w:val="5"/>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Justice Numérique (Maroc) :</w:t>
      </w:r>
      <w:r>
        <w:rPr>
          <w:rFonts w:ascii="Calibri" w:eastAsia="Calibri" w:hAnsi="Calibri" w:cs="Calibri"/>
          <w:color w:val="000000"/>
          <w:sz w:val="24"/>
          <w:szCs w:val="24"/>
        </w:rPr>
        <w:t xml:space="preserve"> La digitalisation permet aux citoyens de suivre les affaires en ligne, réduisant l'opacité et les </w:t>
      </w:r>
      <w:r>
        <w:rPr>
          <w:rFonts w:ascii="Calibri" w:eastAsia="Calibri" w:hAnsi="Calibri" w:cs="Calibri"/>
          <w:color w:val="000000"/>
          <w:sz w:val="24"/>
          <w:szCs w:val="24"/>
        </w:rPr>
        <w:t>risques de corruption.</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Impact territorial et civisme fiscal</w:t>
      </w:r>
    </w:p>
    <w:p w:rsidR="00B75C03" w:rsidRDefault="0075606E">
      <w:pPr>
        <w:numPr>
          <w:ilvl w:val="0"/>
          <w:numId w:val="6"/>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REMACTO (Maroc) :</w:t>
      </w:r>
      <w:r>
        <w:rPr>
          <w:rFonts w:ascii="Calibri" w:eastAsia="Calibri" w:hAnsi="Calibri" w:cs="Calibri"/>
          <w:color w:val="000000"/>
          <w:sz w:val="24"/>
          <w:szCs w:val="24"/>
        </w:rPr>
        <w:t xml:space="preserve"> Le réseau est passé de 66 à 300 membres en 2026, avec 700 engagements concrets.</w:t>
      </w:r>
    </w:p>
    <w:p w:rsidR="00B75C03" w:rsidRDefault="0075606E">
      <w:pPr>
        <w:numPr>
          <w:ilvl w:val="0"/>
          <w:numId w:val="6"/>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Civisme fiscal (Sénégal) :</w:t>
      </w:r>
      <w:r>
        <w:rPr>
          <w:rFonts w:ascii="Calibri" w:eastAsia="Calibri" w:hAnsi="Calibri" w:cs="Calibri"/>
          <w:color w:val="000000"/>
          <w:sz w:val="24"/>
          <w:szCs w:val="24"/>
        </w:rPr>
        <w:t xml:space="preserve"> À Yoff, le budget participatif via l'application « Sunu Gox » a entraîné une hausse des recettes propres, les citoyens voyant l'usage concret de leur impôt (infrastructures de quartier).</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Récits de changement (études de cas)</w:t>
      </w:r>
    </w:p>
    <w:p w:rsidR="00B75C03" w:rsidRDefault="0075606E">
      <w:pPr>
        <w:numPr>
          <w:ilvl w:val="0"/>
          <w:numId w:val="7"/>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Sénégal : Le "JT Rappé" pour la jeunesse.</w:t>
      </w:r>
      <w:r>
        <w:rPr>
          <w:rFonts w:ascii="Calibri" w:eastAsia="Calibri" w:hAnsi="Calibri" w:cs="Calibri"/>
          <w:color w:val="000000"/>
          <w:sz w:val="24"/>
          <w:szCs w:val="24"/>
        </w:rPr>
        <w:t xml:space="preserve"> En utilisant des formats disruptifs en Wolof et Pulaar, le projet a touché 50 000 jeunes. Ce récit démontre que la redevabilité peut devenir "désirable" lorsqu'elle quitte les canaux institutionnels froids.</w:t>
      </w:r>
    </w:p>
    <w:p w:rsidR="00B75C03" w:rsidRDefault="0075606E">
      <w:pPr>
        <w:numPr>
          <w:ilvl w:val="0"/>
          <w:numId w:val="7"/>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Tunisie</w:t>
      </w:r>
      <w:r>
        <w:rPr>
          <w:rFonts w:ascii="Calibri" w:eastAsia="Calibri" w:hAnsi="Calibri" w:cs="Calibri"/>
          <w:b/>
          <w:bCs/>
          <w:color w:val="000000"/>
          <w:sz w:val="24"/>
          <w:szCs w:val="24"/>
        </w:rPr>
        <w:t xml:space="preserve"> : Le "Budget citoyen pour tous".</w:t>
      </w:r>
      <w:r>
        <w:rPr>
          <w:rFonts w:ascii="Calibri" w:eastAsia="Calibri" w:hAnsi="Calibri" w:cs="Calibri"/>
          <w:color w:val="000000"/>
          <w:sz w:val="24"/>
          <w:szCs w:val="24"/>
        </w:rPr>
        <w:t xml:space="preserve"> La production de versions en braille et langue des signes a permis aux PSH de participer pour la première fois aux débats budgétaires. C'est l'innovation d'inclusion la plus marquante du projet.</w:t>
      </w:r>
    </w:p>
    <w:p w:rsidR="00B75C03" w:rsidRDefault="0075606E">
      <w:pPr>
        <w:numPr>
          <w:ilvl w:val="0"/>
          <w:numId w:val="7"/>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Côte d’Ivoire : L'instituti</w:t>
      </w:r>
      <w:r>
        <w:rPr>
          <w:rFonts w:ascii="Calibri" w:eastAsia="Calibri" w:hAnsi="Calibri" w:cs="Calibri"/>
          <w:b/>
          <w:bCs/>
          <w:color w:val="000000"/>
          <w:sz w:val="24"/>
          <w:szCs w:val="24"/>
        </w:rPr>
        <w:t>onnalisation de l'Académie.</w:t>
      </w:r>
      <w:r>
        <w:rPr>
          <w:rFonts w:ascii="Calibri" w:eastAsia="Calibri" w:hAnsi="Calibri" w:cs="Calibri"/>
          <w:color w:val="000000"/>
          <w:sz w:val="24"/>
          <w:szCs w:val="24"/>
        </w:rPr>
        <w:t xml:space="preserve"> Lancée en 2025 par la HABG, elle vise à devenir le hub régional de formation anti-corruption en Afrique francophone.</w:t>
      </w:r>
    </w:p>
    <w:p w:rsidR="00B75C03" w:rsidRDefault="0075606E">
      <w:pPr>
        <w:numPr>
          <w:ilvl w:val="0"/>
          <w:numId w:val="7"/>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Bénin : Le succès de l'adhésion.</w:t>
      </w:r>
      <w:r>
        <w:rPr>
          <w:rFonts w:ascii="Calibri" w:eastAsia="Calibri" w:hAnsi="Calibri" w:cs="Calibri"/>
          <w:color w:val="000000"/>
          <w:sz w:val="24"/>
          <w:szCs w:val="24"/>
        </w:rPr>
        <w:t xml:space="preserve"> Un accompagnement de deux ans a abouti à l'adhésion officielle au PGO en novembre 2024, illustrant l'impact du courtage politique EF-PGO.</w:t>
      </w:r>
    </w:p>
    <w:p w:rsidR="00B75C03" w:rsidRDefault="0075606E">
      <w:pPr>
        <w:numPr>
          <w:ilvl w:val="0"/>
          <w:numId w:val="7"/>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Maroc : Changement de culture au Ministère de la Justice.</w:t>
      </w:r>
      <w:r>
        <w:rPr>
          <w:rFonts w:ascii="Calibri" w:eastAsia="Calibri" w:hAnsi="Calibri" w:cs="Calibri"/>
          <w:color w:val="000000"/>
          <w:sz w:val="24"/>
          <w:szCs w:val="24"/>
        </w:rPr>
        <w:t xml:space="preserve"> Des directions historiquement fermées sont devenues réactiv</w:t>
      </w:r>
      <w:r>
        <w:rPr>
          <w:rFonts w:ascii="Calibri" w:eastAsia="Calibri" w:hAnsi="Calibri" w:cs="Calibri"/>
          <w:color w:val="000000"/>
          <w:sz w:val="24"/>
          <w:szCs w:val="24"/>
        </w:rPr>
        <w:t>es aux demandes d'accès à l'information, marquant un début de transition vers une administration de service.</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1"/>
          <w:numId w:val="1"/>
        </w:numPr>
        <w:pBdr>
          <w:top w:val="nil"/>
          <w:left w:val="nil"/>
          <w:bottom w:val="nil"/>
          <w:right w:val="nil"/>
          <w:between w:val="nil"/>
        </w:pBdr>
        <w:tabs>
          <w:tab w:val="left" w:pos="0"/>
        </w:tabs>
        <w:spacing w:before="160" w:after="80"/>
        <w:jc w:val="both"/>
        <w:rPr>
          <w:rFonts w:ascii="Play" w:eastAsia="Play" w:hAnsi="Play" w:cs="Play"/>
          <w:color w:val="0F4761"/>
          <w:sz w:val="32"/>
          <w:szCs w:val="32"/>
        </w:rPr>
      </w:pPr>
      <w:r>
        <w:rPr>
          <w:rFonts w:ascii="Play" w:eastAsia="Play" w:hAnsi="Play" w:cs="Play"/>
          <w:color w:val="0F4761"/>
          <w:sz w:val="32"/>
          <w:szCs w:val="32"/>
        </w:rPr>
        <w:t>7. Analyse de la Durabilité et inclusion</w:t>
      </w:r>
    </w:p>
    <w:p w:rsidR="00B75C03" w:rsidRDefault="00B75C03">
      <w:pPr>
        <w:pBdr>
          <w:top w:val="nil"/>
          <w:left w:val="nil"/>
          <w:bottom w:val="nil"/>
          <w:right w:val="nil"/>
          <w:between w:val="nil"/>
        </w:pBdr>
        <w:spacing w:before="40" w:after="40" w:line="240" w:lineRule="auto"/>
        <w:jc w:val="both"/>
        <w:rPr>
          <w:rFonts w:ascii="Calibri" w:eastAsia="Calibri" w:hAnsi="Calibri" w:cs="Calibri"/>
          <w:color w:val="000000"/>
          <w:sz w:val="24"/>
          <w:szCs w:val="24"/>
        </w:rPr>
      </w:pPr>
    </w:p>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color w:val="000000"/>
          <w:sz w:val="24"/>
          <w:szCs w:val="24"/>
        </w:rPr>
        <w:t xml:space="preserve">La durabilité est jugée </w:t>
      </w:r>
      <w:r>
        <w:rPr>
          <w:rFonts w:ascii="Calibri" w:eastAsia="Calibri" w:hAnsi="Calibri" w:cs="Calibri"/>
          <w:b/>
          <w:bCs/>
          <w:color w:val="000000"/>
          <w:sz w:val="24"/>
          <w:szCs w:val="24"/>
        </w:rPr>
        <w:t>"en construction"</w:t>
      </w:r>
      <w:r>
        <w:rPr>
          <w:rFonts w:ascii="Calibri" w:eastAsia="Calibri" w:hAnsi="Calibri" w:cs="Calibri"/>
          <w:color w:val="000000"/>
          <w:sz w:val="24"/>
          <w:szCs w:val="24"/>
        </w:rPr>
        <w:t>, reposant sur une trilogie : sécurité juridique, autonomie financière et ancrage dans la formation initiale.</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Piliers de pérennisation par pays</w:t>
      </w:r>
    </w:p>
    <w:tbl>
      <w:tblPr>
        <w:tblStyle w:val="a2"/>
        <w:tblW w:w="9072"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8"/>
        <w:gridCol w:w="2717"/>
        <w:gridCol w:w="2785"/>
        <w:gridCol w:w="2612"/>
      </w:tblGrid>
      <w:tr w:rsidR="00B75C03">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Pays</w:t>
            </w:r>
          </w:p>
        </w:tc>
        <w:tc>
          <w:tcPr>
            <w:tcW w:w="2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Acquis Technique Autonome</w:t>
            </w:r>
          </w:p>
        </w:tc>
        <w:tc>
          <w:tcPr>
            <w:tcW w:w="2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Ancrage Institutionnel</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Relais Financier</w:t>
            </w:r>
          </w:p>
        </w:tc>
      </w:tr>
      <w:tr w:rsidR="00B75C03">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lastRenderedPageBreak/>
              <w:t>Maroc</w:t>
            </w:r>
          </w:p>
        </w:tc>
        <w:tc>
          <w:tcPr>
            <w:tcW w:w="2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Portail OGP indépendant</w:t>
            </w:r>
          </w:p>
        </w:tc>
        <w:tc>
          <w:tcPr>
            <w:tcW w:w="2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Réseau de 20 formateurs DGCT</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Expansion du FOMAP (80%)</w:t>
            </w:r>
          </w:p>
        </w:tc>
      </w:tr>
      <w:tr w:rsidR="00B75C03">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Sénégal</w:t>
            </w:r>
          </w:p>
        </w:tc>
        <w:tc>
          <w:tcPr>
            <w:tcW w:w="2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Protection lanceurs d’alerte</w:t>
            </w:r>
          </w:p>
        </w:tc>
        <w:tc>
          <w:tcPr>
            <w:tcW w:w="2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Modules E-learning ENA</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Inscription PTA ministériels</w:t>
            </w:r>
          </w:p>
        </w:tc>
      </w:tr>
      <w:tr w:rsidR="00B75C03">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Tunisie</w:t>
            </w:r>
          </w:p>
        </w:tc>
        <w:tc>
          <w:tcPr>
            <w:tcW w:w="2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Registre National des Données</w:t>
            </w:r>
          </w:p>
        </w:tc>
        <w:tc>
          <w:tcPr>
            <w:tcW w:w="2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MOOC sur l’intégrité (ENA)</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Stratégie Donnée 2026-2030</w:t>
            </w:r>
          </w:p>
        </w:tc>
      </w:tr>
      <w:tr w:rsidR="00B75C03">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C. d'Ivoire</w:t>
            </w:r>
          </w:p>
        </w:tc>
        <w:tc>
          <w:tcPr>
            <w:tcW w:w="2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Plateformes Open Data</w:t>
            </w:r>
          </w:p>
        </w:tc>
        <w:tc>
          <w:tcPr>
            <w:tcW w:w="2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Académie Bonne Gouvernance</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Cofinancement national</w:t>
            </w:r>
          </w:p>
        </w:tc>
      </w:tr>
    </w:tbl>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Inclusion et enjeux transversaux</w:t>
      </w:r>
    </w:p>
    <w:p w:rsidR="00B75C03" w:rsidRDefault="0075606E">
      <w:pPr>
        <w:numPr>
          <w:ilvl w:val="0"/>
          <w:numId w:val="8"/>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Femmes :</w:t>
      </w:r>
      <w:r>
        <w:rPr>
          <w:rFonts w:ascii="Calibri" w:eastAsia="Calibri" w:hAnsi="Calibri" w:cs="Calibri"/>
          <w:color w:val="000000"/>
          <w:sz w:val="24"/>
          <w:szCs w:val="24"/>
        </w:rPr>
        <w:t xml:space="preserve"> Relais "OSC-tribunal" au Maroc pour l'accès à l'information juridique des femmes rurales. Réseau de femmes dans les organes anti-corruption au Sénégal.</w:t>
      </w:r>
    </w:p>
    <w:p w:rsidR="00B75C03" w:rsidRDefault="0075606E">
      <w:pPr>
        <w:numPr>
          <w:ilvl w:val="0"/>
          <w:numId w:val="8"/>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Jeunes :</w:t>
      </w:r>
      <w:r>
        <w:rPr>
          <w:rFonts w:ascii="Calibri" w:eastAsia="Calibri" w:hAnsi="Calibri" w:cs="Calibri"/>
          <w:color w:val="000000"/>
          <w:sz w:val="24"/>
          <w:szCs w:val="24"/>
        </w:rPr>
        <w:t xml:space="preserve"> Utilisation de 5 langues locales au Sénégal. Caravanes de sensibilisation anti-corruption dans</w:t>
      </w:r>
      <w:r>
        <w:rPr>
          <w:rFonts w:ascii="Calibri" w:eastAsia="Calibri" w:hAnsi="Calibri" w:cs="Calibri"/>
          <w:color w:val="000000"/>
          <w:sz w:val="24"/>
          <w:szCs w:val="24"/>
        </w:rPr>
        <w:t xml:space="preserve"> les lycées techniques ivoiriens (200 élèves touchés).</w:t>
      </w:r>
    </w:p>
    <w:p w:rsidR="00B75C03" w:rsidRDefault="0075606E">
      <w:pPr>
        <w:numPr>
          <w:ilvl w:val="0"/>
          <w:numId w:val="8"/>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Données de renforcement de capacités :</w:t>
      </w:r>
    </w:p>
    <w:p w:rsidR="00B75C03" w:rsidRDefault="0075606E">
      <w:pPr>
        <w:numPr>
          <w:ilvl w:val="1"/>
          <w:numId w:val="8"/>
        </w:numPr>
        <w:pBdr>
          <w:top w:val="nil"/>
          <w:left w:val="nil"/>
          <w:bottom w:val="nil"/>
          <w:right w:val="nil"/>
          <w:between w:val="nil"/>
        </w:pBdr>
        <w:spacing w:before="40" w:after="40" w:line="240" w:lineRule="auto"/>
        <w:jc w:val="both"/>
        <w:rPr>
          <w:color w:val="000000"/>
        </w:rPr>
      </w:pPr>
      <w:r>
        <w:rPr>
          <w:rFonts w:ascii="Calibri" w:eastAsia="Calibri" w:hAnsi="Calibri" w:cs="Calibri"/>
          <w:color w:val="000000"/>
          <w:sz w:val="24"/>
          <w:szCs w:val="24"/>
        </w:rPr>
        <w:t>Participants OSC : 595.</w:t>
      </w:r>
    </w:p>
    <w:p w:rsidR="00B75C03" w:rsidRDefault="0075606E">
      <w:pPr>
        <w:numPr>
          <w:ilvl w:val="1"/>
          <w:numId w:val="8"/>
        </w:numPr>
        <w:pBdr>
          <w:top w:val="nil"/>
          <w:left w:val="nil"/>
          <w:bottom w:val="nil"/>
          <w:right w:val="nil"/>
          <w:between w:val="nil"/>
        </w:pBdr>
        <w:spacing w:before="40" w:after="40" w:line="240" w:lineRule="auto"/>
        <w:jc w:val="both"/>
        <w:rPr>
          <w:color w:val="000000"/>
        </w:rPr>
      </w:pPr>
      <w:r>
        <w:rPr>
          <w:rFonts w:ascii="Calibri" w:eastAsia="Calibri" w:hAnsi="Calibri" w:cs="Calibri"/>
          <w:color w:val="000000"/>
          <w:sz w:val="24"/>
          <w:szCs w:val="24"/>
        </w:rPr>
        <w:t>Participants Administration : 487.</w:t>
      </w:r>
    </w:p>
    <w:p w:rsidR="00B75C03" w:rsidRDefault="0075606E">
      <w:pPr>
        <w:numPr>
          <w:ilvl w:val="1"/>
          <w:numId w:val="8"/>
        </w:numPr>
        <w:pBdr>
          <w:top w:val="nil"/>
          <w:left w:val="nil"/>
          <w:bottom w:val="nil"/>
          <w:right w:val="nil"/>
          <w:between w:val="nil"/>
        </w:pBdr>
        <w:spacing w:before="40" w:after="40" w:line="240" w:lineRule="auto"/>
        <w:jc w:val="both"/>
        <w:rPr>
          <w:color w:val="000000"/>
        </w:rPr>
      </w:pPr>
      <w:r>
        <w:rPr>
          <w:rFonts w:ascii="Calibri" w:eastAsia="Calibri" w:hAnsi="Calibri" w:cs="Calibri"/>
          <w:color w:val="000000"/>
          <w:sz w:val="24"/>
          <w:szCs w:val="24"/>
        </w:rPr>
        <w:t>Participants Médias : 93.</w:t>
      </w:r>
    </w:p>
    <w:p w:rsidR="00B75C03" w:rsidRDefault="0075606E">
      <w:pPr>
        <w:numPr>
          <w:ilvl w:val="1"/>
          <w:numId w:val="8"/>
        </w:numPr>
        <w:pBdr>
          <w:top w:val="nil"/>
          <w:left w:val="nil"/>
          <w:bottom w:val="nil"/>
          <w:right w:val="nil"/>
          <w:between w:val="nil"/>
        </w:pBdr>
        <w:spacing w:before="40" w:after="40" w:line="240" w:lineRule="auto"/>
        <w:jc w:val="both"/>
        <w:rPr>
          <w:color w:val="000000"/>
        </w:rPr>
      </w:pPr>
      <w:r>
        <w:rPr>
          <w:rFonts w:ascii="Calibri" w:eastAsia="Calibri" w:hAnsi="Calibri" w:cs="Calibri"/>
          <w:color w:val="000000"/>
          <w:sz w:val="24"/>
          <w:szCs w:val="24"/>
        </w:rPr>
        <w:t>Répartition Genre : 820 Femmes / 1 920 Hommes.</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Numérique et risques émergents (Assises de Rabat 2026)</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Les discussions ont mis en exergue les nouveaux défis du "Gouvernement Ouvert numérique" :</w:t>
      </w:r>
    </w:p>
    <w:p w:rsidR="00B75C03" w:rsidRDefault="0075606E">
      <w:pPr>
        <w:numPr>
          <w:ilvl w:val="0"/>
          <w:numId w:val="9"/>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Surveillance :</w:t>
      </w:r>
      <w:r>
        <w:rPr>
          <w:rFonts w:ascii="Calibri" w:eastAsia="Calibri" w:hAnsi="Calibri" w:cs="Calibri"/>
          <w:color w:val="000000"/>
          <w:sz w:val="24"/>
          <w:szCs w:val="24"/>
        </w:rPr>
        <w:t xml:space="preserve"> Risques d'usage détourné des lois sur le code numérique contre les journalistes (cas cité du Bénin).</w:t>
      </w:r>
    </w:p>
    <w:p w:rsidR="00B75C03" w:rsidRDefault="0075606E">
      <w:pPr>
        <w:numPr>
          <w:ilvl w:val="0"/>
          <w:numId w:val="9"/>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Désinformation :</w:t>
      </w:r>
      <w:r>
        <w:rPr>
          <w:rFonts w:ascii="Calibri" w:eastAsia="Calibri" w:hAnsi="Calibri" w:cs="Calibri"/>
          <w:color w:val="000000"/>
          <w:sz w:val="24"/>
          <w:szCs w:val="24"/>
        </w:rPr>
        <w:t xml:space="preserve"> Besoin de protéger l'espace civique numérique, particulièrement lors des périodes électorales (Sénégal 2024).</w:t>
      </w:r>
    </w:p>
    <w:p w:rsidR="00B75C03" w:rsidRDefault="0075606E">
      <w:pPr>
        <w:numPr>
          <w:ilvl w:val="0"/>
          <w:numId w:val="9"/>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IA et Souveraineté :</w:t>
      </w:r>
      <w:r>
        <w:rPr>
          <w:rFonts w:ascii="Calibri" w:eastAsia="Calibri" w:hAnsi="Calibri" w:cs="Calibri"/>
          <w:color w:val="000000"/>
          <w:sz w:val="24"/>
          <w:szCs w:val="24"/>
        </w:rPr>
        <w:t xml:space="preserve"> Fracture numérique réelle et nécessité pour les leaders africains de maîtriser la gestion souveraine des données face à l'IA.</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1"/>
          <w:numId w:val="1"/>
        </w:numPr>
        <w:pBdr>
          <w:top w:val="nil"/>
          <w:left w:val="nil"/>
          <w:bottom w:val="nil"/>
          <w:right w:val="nil"/>
          <w:between w:val="nil"/>
        </w:pBdr>
        <w:tabs>
          <w:tab w:val="left" w:pos="0"/>
        </w:tabs>
        <w:spacing w:before="160" w:after="80"/>
        <w:jc w:val="both"/>
        <w:rPr>
          <w:rFonts w:ascii="Play" w:eastAsia="Play" w:hAnsi="Play" w:cs="Play"/>
          <w:color w:val="0F4761"/>
          <w:sz w:val="32"/>
          <w:szCs w:val="32"/>
        </w:rPr>
      </w:pPr>
      <w:r>
        <w:rPr>
          <w:rFonts w:ascii="Play" w:eastAsia="Play" w:hAnsi="Play" w:cs="Play"/>
          <w:color w:val="0F4761"/>
          <w:sz w:val="32"/>
          <w:szCs w:val="32"/>
        </w:rPr>
        <w:t>8. Conclusions et recommandations stratégiques</w:t>
      </w:r>
    </w:p>
    <w:p w:rsidR="00B75C03" w:rsidRDefault="0075606E">
      <w:pPr>
        <w:pBdr>
          <w:top w:val="nil"/>
          <w:left w:val="nil"/>
          <w:bottom w:val="nil"/>
          <w:right w:val="nil"/>
          <w:between w:val="nil"/>
        </w:pBdr>
        <w:spacing w:before="40" w:after="4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Le PAGOF2 a construit des fondations robustes, amorçant la transition vers un Ét</w:t>
      </w:r>
      <w:r>
        <w:rPr>
          <w:rFonts w:ascii="Calibri" w:eastAsia="Calibri" w:hAnsi="Calibri" w:cs="Calibri"/>
          <w:color w:val="000000"/>
          <w:sz w:val="24"/>
          <w:szCs w:val="24"/>
        </w:rPr>
        <w:t>at Ouvert. La phase suivante devra transformer ces "briques techniques" en une culture institutionnelle irréversible.</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lastRenderedPageBreak/>
        <w:t>Recommandations politiques</w:t>
      </w:r>
    </w:p>
    <w:p w:rsidR="00B75C03" w:rsidRDefault="0075606E">
      <w:pPr>
        <w:numPr>
          <w:ilvl w:val="0"/>
          <w:numId w:val="10"/>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Renforcer le leadership et l’autorité de conception :</w:t>
      </w:r>
      <w:r>
        <w:rPr>
          <w:rFonts w:ascii="Calibri" w:eastAsia="Calibri" w:hAnsi="Calibri" w:cs="Calibri"/>
          <w:color w:val="000000"/>
          <w:sz w:val="24"/>
          <w:szCs w:val="24"/>
        </w:rPr>
        <w:t xml:space="preserve"> Repositionner les ministères nationaux pivots comme autorités de conception et non simples exécutants. Intégrer les engagements PGO dans les PTA ministériels.</w:t>
      </w:r>
    </w:p>
    <w:p w:rsidR="00B75C03" w:rsidRDefault="0075606E">
      <w:pPr>
        <w:numPr>
          <w:ilvl w:val="0"/>
          <w:numId w:val="10"/>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Ancrer l’ouverture dans des cadres législatifs pérennes :</w:t>
      </w:r>
      <w:r>
        <w:rPr>
          <w:rFonts w:ascii="Calibri" w:eastAsia="Calibri" w:hAnsi="Calibri" w:cs="Calibri"/>
          <w:color w:val="000000"/>
          <w:sz w:val="24"/>
          <w:szCs w:val="24"/>
        </w:rPr>
        <w:t xml:space="preserve"> Sécuriser les acquis par la "trilogie </w:t>
      </w:r>
      <w:r>
        <w:rPr>
          <w:rFonts w:ascii="Calibri" w:eastAsia="Calibri" w:hAnsi="Calibri" w:cs="Calibri"/>
          <w:color w:val="000000"/>
          <w:sz w:val="24"/>
          <w:szCs w:val="24"/>
        </w:rPr>
        <w:t>de la durabilité" (sécurité juridique, autonomie financière, portage politique en Conseil des ministres).</w:t>
      </w:r>
    </w:p>
    <w:p w:rsidR="00B75C03" w:rsidRDefault="0075606E">
      <w:pPr>
        <w:numPr>
          <w:ilvl w:val="0"/>
          <w:numId w:val="10"/>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Développer une programmation différenciée (Scénarios de crise) :</w:t>
      </w:r>
      <w:r>
        <w:rPr>
          <w:rFonts w:ascii="Calibri" w:eastAsia="Calibri" w:hAnsi="Calibri" w:cs="Calibri"/>
          <w:color w:val="000000"/>
          <w:sz w:val="24"/>
          <w:szCs w:val="24"/>
        </w:rPr>
        <w:t xml:space="preserve"> Préparer des scénarios d'intervention dès le démarrage (Poursuite normale, Refocus te</w:t>
      </w:r>
      <w:r>
        <w:rPr>
          <w:rFonts w:ascii="Calibri" w:eastAsia="Calibri" w:hAnsi="Calibri" w:cs="Calibri"/>
          <w:color w:val="000000"/>
          <w:sz w:val="24"/>
          <w:szCs w:val="24"/>
        </w:rPr>
        <w:t>chnique, Suspension) pour gérer l'instabilité régionale et protéger les partenaires locaux.</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Recommandations stratégiques</w:t>
      </w:r>
    </w:p>
    <w:p w:rsidR="00B75C03" w:rsidRDefault="0075606E">
      <w:pPr>
        <w:numPr>
          <w:ilvl w:val="0"/>
          <w:numId w:val="11"/>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Élargir l’approche de co-création :</w:t>
      </w:r>
      <w:r>
        <w:rPr>
          <w:rFonts w:ascii="Calibri" w:eastAsia="Calibri" w:hAnsi="Calibri" w:cs="Calibri"/>
          <w:color w:val="000000"/>
          <w:sz w:val="24"/>
          <w:szCs w:val="24"/>
        </w:rPr>
        <w:t xml:space="preserve"> Étendre la co-construction à la conception même des projets de soutien technique.</w:t>
      </w:r>
    </w:p>
    <w:p w:rsidR="00B75C03" w:rsidRDefault="0075606E">
      <w:pPr>
        <w:numPr>
          <w:ilvl w:val="0"/>
          <w:numId w:val="11"/>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Généraliser et standardiser l’ancrage local :</w:t>
      </w:r>
      <w:r>
        <w:rPr>
          <w:rFonts w:ascii="Calibri" w:eastAsia="Calibri" w:hAnsi="Calibri" w:cs="Calibri"/>
          <w:color w:val="000000"/>
          <w:sz w:val="24"/>
          <w:szCs w:val="24"/>
        </w:rPr>
        <w:t xml:space="preserve"> Passer des projets pilotes à une standardisation nationale des approches participatives obligatoires (ex: budgets participatifs généralisés).</w:t>
      </w:r>
    </w:p>
    <w:p w:rsidR="00B75C03" w:rsidRDefault="0075606E">
      <w:pPr>
        <w:numPr>
          <w:ilvl w:val="0"/>
          <w:numId w:val="11"/>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Intégrer des indicateurs d’inclusion stricts :</w:t>
      </w:r>
      <w:r>
        <w:rPr>
          <w:rFonts w:ascii="Calibri" w:eastAsia="Calibri" w:hAnsi="Calibri" w:cs="Calibri"/>
          <w:color w:val="000000"/>
          <w:sz w:val="24"/>
          <w:szCs w:val="24"/>
        </w:rPr>
        <w:t xml:space="preserve"> Rendre l'inclusion de</w:t>
      </w:r>
      <w:r>
        <w:rPr>
          <w:rFonts w:ascii="Calibri" w:eastAsia="Calibri" w:hAnsi="Calibri" w:cs="Calibri"/>
          <w:color w:val="000000"/>
          <w:sz w:val="24"/>
          <w:szCs w:val="24"/>
        </w:rPr>
        <w:t>s femmes, jeunes et PSH contractuelle et mesurable par des données désagrégées systématiques.</w:t>
      </w:r>
    </w:p>
    <w:p w:rsidR="00B75C03" w:rsidRDefault="0075606E">
      <w:pPr>
        <w:numPr>
          <w:ilvl w:val="0"/>
          <w:numId w:val="11"/>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Institutionnaliser la coordination multi-bailleurs :</w:t>
      </w:r>
      <w:r>
        <w:rPr>
          <w:rFonts w:ascii="Calibri" w:eastAsia="Calibri" w:hAnsi="Calibri" w:cs="Calibri"/>
          <w:color w:val="000000"/>
          <w:sz w:val="24"/>
          <w:szCs w:val="24"/>
        </w:rPr>
        <w:t xml:space="preserve"> Créer un cadre permanent de partage entre l'AFD, l'UE, la Banque Mondiale et l'OCDE par pays.</w:t>
      </w:r>
    </w:p>
    <w:p w:rsidR="00B75C03" w:rsidRDefault="00B75C03">
      <w:pPr>
        <w:pBdr>
          <w:top w:val="nil"/>
          <w:left w:val="nil"/>
          <w:bottom w:val="nil"/>
          <w:right w:val="nil"/>
          <w:between w:val="nil"/>
        </w:pBdr>
        <w:spacing w:before="40" w:after="40" w:line="240" w:lineRule="auto"/>
        <w:jc w:val="both"/>
        <w:rPr>
          <w:rFonts w:ascii="Calibri" w:eastAsia="Calibri" w:hAnsi="Calibri" w:cs="Calibri"/>
          <w:b/>
          <w:bCs/>
          <w:color w:val="000000"/>
          <w:sz w:val="24"/>
          <w:szCs w:val="24"/>
        </w:rPr>
      </w:pPr>
    </w:p>
    <w:p w:rsidR="00B75C03" w:rsidRDefault="0075606E">
      <w:pPr>
        <w:keepNext/>
        <w:keepLines/>
        <w:numPr>
          <w:ilvl w:val="2"/>
          <w:numId w:val="1"/>
        </w:numPr>
        <w:pBdr>
          <w:top w:val="nil"/>
          <w:left w:val="nil"/>
          <w:bottom w:val="nil"/>
          <w:right w:val="nil"/>
          <w:between w:val="nil"/>
        </w:pBdr>
        <w:tabs>
          <w:tab w:val="left" w:pos="0"/>
        </w:tabs>
        <w:spacing w:before="160" w:after="80"/>
        <w:jc w:val="both"/>
        <w:rPr>
          <w:color w:val="0F4761"/>
          <w:sz w:val="28"/>
          <w:szCs w:val="28"/>
        </w:rPr>
      </w:pPr>
      <w:r>
        <w:rPr>
          <w:color w:val="0F4761"/>
          <w:sz w:val="28"/>
          <w:szCs w:val="28"/>
        </w:rPr>
        <w:t>Recommandation</w:t>
      </w:r>
      <w:r>
        <w:rPr>
          <w:color w:val="0F4761"/>
          <w:sz w:val="28"/>
          <w:szCs w:val="28"/>
        </w:rPr>
        <w:t>s opérationnelles</w:t>
      </w:r>
    </w:p>
    <w:p w:rsidR="00B75C03" w:rsidRDefault="0075606E">
      <w:pPr>
        <w:numPr>
          <w:ilvl w:val="0"/>
          <w:numId w:val="13"/>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Optimisation des circuits financiers :</w:t>
      </w:r>
      <w:r>
        <w:rPr>
          <w:rFonts w:ascii="Calibri" w:eastAsia="Calibri" w:hAnsi="Calibri" w:cs="Calibri"/>
          <w:color w:val="000000"/>
          <w:sz w:val="24"/>
          <w:szCs w:val="24"/>
        </w:rPr>
        <w:t xml:space="preserve"> Créer des mécanismes de subvention plus agiles pour les OSC (avances plus importantes, procédures simplifiées pour les petits montants).</w:t>
      </w:r>
    </w:p>
    <w:p w:rsidR="00B75C03" w:rsidRDefault="0075606E">
      <w:pPr>
        <w:numPr>
          <w:ilvl w:val="0"/>
          <w:numId w:val="13"/>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Valorisation du réseau des coordinateurs nationaux :</w:t>
      </w:r>
      <w:r>
        <w:rPr>
          <w:rFonts w:ascii="Calibri" w:eastAsia="Calibri" w:hAnsi="Calibri" w:cs="Calibri"/>
          <w:color w:val="000000"/>
          <w:sz w:val="24"/>
          <w:szCs w:val="24"/>
        </w:rPr>
        <w:t xml:space="preserve"> Renforcer l'ancrage politique des coordinateurs auprès des ambassades de France et de l'AFD locale.</w:t>
      </w:r>
    </w:p>
    <w:p w:rsidR="00B75C03" w:rsidRDefault="0075606E">
      <w:pPr>
        <w:numPr>
          <w:ilvl w:val="0"/>
          <w:numId w:val="13"/>
        </w:numPr>
        <w:pBdr>
          <w:top w:val="nil"/>
          <w:left w:val="nil"/>
          <w:bottom w:val="nil"/>
          <w:right w:val="nil"/>
          <w:between w:val="nil"/>
        </w:pBdr>
        <w:spacing w:before="40" w:after="40" w:line="240" w:lineRule="auto"/>
        <w:jc w:val="both"/>
        <w:rPr>
          <w:color w:val="000000"/>
        </w:rPr>
      </w:pPr>
      <w:r>
        <w:rPr>
          <w:rFonts w:ascii="Calibri" w:eastAsia="Calibri" w:hAnsi="Calibri" w:cs="Calibri"/>
          <w:b/>
          <w:bCs/>
          <w:color w:val="000000"/>
          <w:sz w:val="24"/>
          <w:szCs w:val="24"/>
        </w:rPr>
        <w:t>Système intégré de Suivi, Évaluation et Apprentissage (S&amp;E) :</w:t>
      </w:r>
      <w:r>
        <w:rPr>
          <w:rFonts w:ascii="Calibri" w:eastAsia="Calibri" w:hAnsi="Calibri" w:cs="Calibri"/>
          <w:color w:val="000000"/>
          <w:sz w:val="24"/>
          <w:szCs w:val="24"/>
        </w:rPr>
        <w:t xml:space="preserve"> Doter la phase suivante d'un dispositif de S&amp;E formalisé dès le lancement, avec des ressource</w:t>
      </w:r>
      <w:r>
        <w:rPr>
          <w:rFonts w:ascii="Calibri" w:eastAsia="Calibri" w:hAnsi="Calibri" w:cs="Calibri"/>
          <w:color w:val="000000"/>
          <w:sz w:val="24"/>
          <w:szCs w:val="24"/>
        </w:rPr>
        <w:t>s dédiées pour la capitalisation en temps réel.</w:t>
      </w:r>
    </w:p>
    <w:p w:rsidR="00B75C03" w:rsidRDefault="00B75C03">
      <w:pPr>
        <w:pBdr>
          <w:top w:val="nil"/>
          <w:left w:val="nil"/>
          <w:bottom w:val="nil"/>
          <w:right w:val="nil"/>
          <w:between w:val="nil"/>
        </w:pBdr>
        <w:spacing w:before="40" w:after="40" w:line="240" w:lineRule="auto"/>
        <w:jc w:val="both"/>
        <w:rPr>
          <w:rFonts w:ascii="Calibri" w:eastAsia="Calibri" w:hAnsi="Calibri" w:cs="Calibri"/>
          <w:color w:val="000000"/>
          <w:sz w:val="24"/>
          <w:szCs w:val="24"/>
        </w:rPr>
      </w:pPr>
    </w:p>
    <w:sectPr w:rsidR="00B75C03">
      <w:footerReference w:type="default" r:id="rId8"/>
      <w:pgSz w:w="11906" w:h="16838"/>
      <w:pgMar w:top="1417" w:right="1417" w:bottom="1417" w:left="1417"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06E" w:rsidRDefault="0075606E">
      <w:pPr>
        <w:spacing w:after="0" w:line="240" w:lineRule="auto"/>
      </w:pPr>
      <w:r>
        <w:separator/>
      </w:r>
    </w:p>
  </w:endnote>
  <w:endnote w:type="continuationSeparator" w:id="0">
    <w:p w:rsidR="0075606E" w:rsidRDefault="00756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44399208-36E7-4C8E-BFB0-782899B237CB}"/>
  </w:font>
  <w:font w:name="Courier New">
    <w:panose1 w:val="02070309020205020404"/>
    <w:charset w:val="00"/>
    <w:family w:val="modern"/>
    <w:pitch w:val="fixed"/>
    <w:sig w:usb0="E0002EFF" w:usb1="C0007843" w:usb2="00000009" w:usb3="00000000" w:csb0="000001FF" w:csb1="00000000"/>
  </w:font>
  <w:font w:name="Apto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A8E58E9F-A473-45DD-9C7A-9BE4EE564B7C}"/>
  </w:font>
  <w:font w:name="Play">
    <w:charset w:val="00"/>
    <w:family w:val="auto"/>
    <w:pitch w:val="default"/>
    <w:embedRegular r:id="rId3" w:fontKey="{5CE20FAC-5BDA-4E01-AA64-B8306114106D}"/>
    <w:embedBold r:id="rId4" w:fontKey="{A6D13C74-14DA-486E-B54D-46C95395C12F}"/>
    <w:embedItalic r:id="rId5" w:fontKey="{01007C48-6F01-4A12-ABA9-3C9BF83C79EF}"/>
  </w:font>
  <w:font w:name="Calibri">
    <w:panose1 w:val="020F0502020204030204"/>
    <w:charset w:val="00"/>
    <w:family w:val="swiss"/>
    <w:pitch w:val="variable"/>
    <w:sig w:usb0="E4002EFF" w:usb1="C200247B" w:usb2="00000009" w:usb3="00000000" w:csb0="000001FF" w:csb1="00000000"/>
    <w:embedRegular r:id="rId6" w:fontKey="{BF5DE9A1-A00F-46A4-B5AC-29A60726AEEC}"/>
    <w:embedBold r:id="rId7" w:fontKey="{2E28ED53-AB5C-4854-9925-684601D6D27D}"/>
    <w:embedItalic r:id="rId8" w:fontKey="{B046AAA0-FE6D-489F-B9CE-F511FA5EF8E1}"/>
  </w:font>
  <w:font w:name="Cambria">
    <w:panose1 w:val="02040503050406030204"/>
    <w:charset w:val="00"/>
    <w:family w:val="roman"/>
    <w:pitch w:val="variable"/>
    <w:sig w:usb0="E00006FF" w:usb1="420024FF" w:usb2="02000000" w:usb3="00000000" w:csb0="0000019F" w:csb1="00000000"/>
    <w:embedRegular r:id="rId9" w:fontKey="{E78739FF-7015-44A7-B658-8CDC42DEA098}"/>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C03" w:rsidRDefault="0075606E">
    <w:pPr>
      <w:jc w:val="right"/>
    </w:pPr>
    <w:r>
      <w:fldChar w:fldCharType="begin"/>
    </w:r>
    <w:r>
      <w:instrText>PAGE</w:instrText>
    </w:r>
    <w:r w:rsidR="0052564A">
      <w:fldChar w:fldCharType="separate"/>
    </w:r>
    <w:r w:rsidR="00BC3B9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06E" w:rsidRDefault="0075606E">
      <w:pPr>
        <w:spacing w:after="0" w:line="240" w:lineRule="auto"/>
      </w:pPr>
      <w:r>
        <w:separator/>
      </w:r>
    </w:p>
  </w:footnote>
  <w:footnote w:type="continuationSeparator" w:id="0">
    <w:p w:rsidR="0075606E" w:rsidRDefault="007560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56EEA"/>
    <w:multiLevelType w:val="multilevel"/>
    <w:tmpl w:val="B06C98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0070C3B"/>
    <w:multiLevelType w:val="multilevel"/>
    <w:tmpl w:val="D0B403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81354E6"/>
    <w:multiLevelType w:val="multilevel"/>
    <w:tmpl w:val="61485E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D906009"/>
    <w:multiLevelType w:val="multilevel"/>
    <w:tmpl w:val="E8326A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41741A2"/>
    <w:multiLevelType w:val="multilevel"/>
    <w:tmpl w:val="2A3CC4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8F20B68"/>
    <w:multiLevelType w:val="multilevel"/>
    <w:tmpl w:val="75C6D0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C7219E6"/>
    <w:multiLevelType w:val="multilevel"/>
    <w:tmpl w:val="722691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F5310FA"/>
    <w:multiLevelType w:val="multilevel"/>
    <w:tmpl w:val="0EF415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70312BC"/>
    <w:multiLevelType w:val="multilevel"/>
    <w:tmpl w:val="C8480D5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5B7612BF"/>
    <w:multiLevelType w:val="multilevel"/>
    <w:tmpl w:val="D45EBC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F8A08DF"/>
    <w:multiLevelType w:val="multilevel"/>
    <w:tmpl w:val="F828AF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0155696"/>
    <w:multiLevelType w:val="multilevel"/>
    <w:tmpl w:val="179070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1EF60B0"/>
    <w:multiLevelType w:val="multilevel"/>
    <w:tmpl w:val="1CBCAD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62D01DBF"/>
    <w:multiLevelType w:val="multilevel"/>
    <w:tmpl w:val="D1CAB3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38B280B"/>
    <w:multiLevelType w:val="multilevel"/>
    <w:tmpl w:val="CCC890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90C41DF"/>
    <w:multiLevelType w:val="multilevel"/>
    <w:tmpl w:val="B5D8C8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AB032DA"/>
    <w:multiLevelType w:val="multilevel"/>
    <w:tmpl w:val="3AB49E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3514B8D"/>
    <w:multiLevelType w:val="multilevel"/>
    <w:tmpl w:val="67188C6A"/>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 w15:restartNumberingAfterBreak="0">
    <w:nsid w:val="7CF35047"/>
    <w:multiLevelType w:val="multilevel"/>
    <w:tmpl w:val="D60061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DEF0B4E"/>
    <w:multiLevelType w:val="multilevel"/>
    <w:tmpl w:val="A48ACD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7"/>
  </w:num>
  <w:num w:numId="2">
    <w:abstractNumId w:val="1"/>
  </w:num>
  <w:num w:numId="3">
    <w:abstractNumId w:val="3"/>
  </w:num>
  <w:num w:numId="4">
    <w:abstractNumId w:val="14"/>
  </w:num>
  <w:num w:numId="5">
    <w:abstractNumId w:val="4"/>
  </w:num>
  <w:num w:numId="6">
    <w:abstractNumId w:val="15"/>
  </w:num>
  <w:num w:numId="7">
    <w:abstractNumId w:val="13"/>
  </w:num>
  <w:num w:numId="8">
    <w:abstractNumId w:val="16"/>
  </w:num>
  <w:num w:numId="9">
    <w:abstractNumId w:val="2"/>
  </w:num>
  <w:num w:numId="10">
    <w:abstractNumId w:val="6"/>
  </w:num>
  <w:num w:numId="11">
    <w:abstractNumId w:val="19"/>
  </w:num>
  <w:num w:numId="12">
    <w:abstractNumId w:val="10"/>
  </w:num>
  <w:num w:numId="13">
    <w:abstractNumId w:val="8"/>
  </w:num>
  <w:num w:numId="14">
    <w:abstractNumId w:val="5"/>
  </w:num>
  <w:num w:numId="15">
    <w:abstractNumId w:val="7"/>
  </w:num>
  <w:num w:numId="16">
    <w:abstractNumId w:val="9"/>
  </w:num>
  <w:num w:numId="17">
    <w:abstractNumId w:val="11"/>
  </w:num>
  <w:num w:numId="18">
    <w:abstractNumId w:val="0"/>
  </w:num>
  <w:num w:numId="19">
    <w:abstractNumId w:val="1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C03"/>
    <w:rsid w:val="0052564A"/>
    <w:rsid w:val="0075606E"/>
    <w:rsid w:val="00B75C03"/>
    <w:rsid w:val="00BC3B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45317E-9533-483E-9D63-E25D0E9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2"/>
        <w:szCs w:val="22"/>
        <w:lang w:val="fr" w:eastAsia="fr-FR"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80" w:after="120"/>
      <w:outlineLvl w:val="0"/>
    </w:pPr>
    <w:rPr>
      <w:b/>
      <w:bCs/>
      <w:sz w:val="48"/>
      <w:szCs w:val="48"/>
    </w:rPr>
  </w:style>
  <w:style w:type="paragraph" w:styleId="Titre2">
    <w:name w:val="heading 2"/>
    <w:basedOn w:val="Normal"/>
    <w:next w:val="Normal"/>
    <w:pPr>
      <w:keepNext/>
      <w:keepLines/>
      <w:spacing w:before="360" w:after="80"/>
      <w:outlineLvl w:val="1"/>
    </w:pPr>
    <w:rPr>
      <w:b/>
      <w:bCs/>
      <w:sz w:val="36"/>
      <w:szCs w:val="36"/>
    </w:rPr>
  </w:style>
  <w:style w:type="paragraph" w:styleId="Titre3">
    <w:name w:val="heading 3"/>
    <w:basedOn w:val="Normal"/>
    <w:next w:val="Normal"/>
    <w:pPr>
      <w:keepNext/>
      <w:keepLines/>
      <w:spacing w:before="280" w:after="80"/>
      <w:outlineLvl w:val="2"/>
    </w:pPr>
    <w:rPr>
      <w:b/>
      <w:bCs/>
      <w:sz w:val="28"/>
      <w:szCs w:val="28"/>
    </w:rPr>
  </w:style>
  <w:style w:type="paragraph" w:styleId="Titre4">
    <w:name w:val="heading 4"/>
    <w:basedOn w:val="Normal"/>
    <w:next w:val="Normal"/>
    <w:pPr>
      <w:keepNext/>
      <w:keepLines/>
      <w:spacing w:before="240" w:after="40"/>
      <w:outlineLvl w:val="3"/>
    </w:pPr>
    <w:rPr>
      <w:b/>
      <w:bCs/>
      <w:sz w:val="24"/>
      <w:szCs w:val="24"/>
    </w:rPr>
  </w:style>
  <w:style w:type="paragraph" w:styleId="Titre5">
    <w:name w:val="heading 5"/>
    <w:basedOn w:val="Normal"/>
    <w:next w:val="Normal"/>
    <w:pPr>
      <w:keepNext/>
      <w:keepLines/>
      <w:spacing w:before="220" w:after="40"/>
      <w:outlineLvl w:val="4"/>
    </w:pPr>
    <w:rPr>
      <w:b/>
      <w:bCs/>
    </w:rPr>
  </w:style>
  <w:style w:type="paragraph" w:styleId="Titre6">
    <w:name w:val="heading 6"/>
    <w:basedOn w:val="Normal"/>
    <w:next w:val="Normal"/>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before="480" w:after="120"/>
    </w:pPr>
    <w:rPr>
      <w:b/>
      <w:bCs/>
      <w:sz w:val="72"/>
      <w:szCs w:val="72"/>
    </w:rPr>
  </w:style>
  <w:style w:type="paragraph" w:styleId="Sous-titr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15" w:type="dxa"/>
        <w:left w:w="7" w:type="dxa"/>
        <w:bottom w:w="15" w:type="dxa"/>
        <w:right w:w="15" w:type="dxa"/>
      </w:tblCellMar>
    </w:tblPr>
  </w:style>
  <w:style w:type="table" w:customStyle="1" w:styleId="a0">
    <w:basedOn w:val="TableNormal"/>
    <w:tblPr>
      <w:tblStyleRowBandSize w:val="1"/>
      <w:tblStyleColBandSize w:val="1"/>
      <w:tblCellMar>
        <w:top w:w="15" w:type="dxa"/>
        <w:left w:w="7" w:type="dxa"/>
        <w:bottom w:w="15" w:type="dxa"/>
        <w:right w:w="15" w:type="dxa"/>
      </w:tblCellMar>
    </w:tblPr>
  </w:style>
  <w:style w:type="table" w:customStyle="1" w:styleId="a1">
    <w:basedOn w:val="TableNormal"/>
    <w:tblPr>
      <w:tblStyleRowBandSize w:val="1"/>
      <w:tblStyleColBandSize w:val="1"/>
      <w:tblCellMar>
        <w:top w:w="15" w:type="dxa"/>
        <w:left w:w="7" w:type="dxa"/>
        <w:bottom w:w="15" w:type="dxa"/>
        <w:right w:w="15" w:type="dxa"/>
      </w:tblCellMar>
    </w:tblPr>
  </w:style>
  <w:style w:type="table" w:customStyle="1" w:styleId="a2">
    <w:basedOn w:val="TableNormal"/>
    <w:tblPr>
      <w:tblStyleRowBandSize w:val="1"/>
      <w:tblStyleColBandSize w:val="1"/>
      <w:tblCellMar>
        <w:top w:w="15" w:type="dxa"/>
        <w:left w:w="7"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3049</Words>
  <Characters>16771</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c:creator>
  <cp:lastModifiedBy>HI</cp:lastModifiedBy>
  <cp:revision>2</cp:revision>
  <dcterms:created xsi:type="dcterms:W3CDTF">2026-08-11T06:00:00Z</dcterms:created>
  <dcterms:modified xsi:type="dcterms:W3CDTF">2026-08-11T06:00:00Z</dcterms:modified>
</cp:coreProperties>
</file>